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智烤管家：10.20底稿到v3逐段修改对照</w:t>
      </w:r>
    </w:p>
    <w:p>
      <w:pPr>
        <w:jc w:val="center"/>
      </w:pPr>
      <w:r>
        <w:rPr>
          <w:rFonts w:ascii="仿宋_GB2312" w:hAnsi="仿宋_GB2312" w:eastAsia="仿宋_GB2312"/>
          <w:b w:val="0"/>
          <w:sz w:val="18"/>
        </w:rPr>
        <w:t>单人版舞台表达重构，保留10.20原稿业务主线与技术术语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rPr>
                <w:rFonts w:ascii="黑体" w:hAnsi="黑体" w:eastAsia="黑体"/>
                <w:b/>
                <w:sz w:val="18"/>
              </w:rPr>
              <w:t>修改位置</w:t>
            </w:r>
          </w:p>
        </w:tc>
        <w:tc>
          <w:tcPr>
            <w:tcW w:type="dxa" w:w="2408"/>
          </w:tcPr>
          <w:p>
            <w:r>
              <w:rPr>
                <w:rFonts w:ascii="黑体" w:hAnsi="黑体" w:eastAsia="黑体"/>
                <w:b/>
                <w:sz w:val="18"/>
              </w:rPr>
              <w:t>原稿存在的问题/原话节选</w:t>
            </w:r>
          </w:p>
        </w:tc>
        <w:tc>
          <w:tcPr>
            <w:tcW w:type="dxa" w:w="2408"/>
          </w:tcPr>
          <w:p>
            <w:r>
              <w:rPr>
                <w:rFonts w:ascii="黑体" w:hAnsi="黑体" w:eastAsia="黑体"/>
                <w:b/>
                <w:sz w:val="18"/>
              </w:rPr>
              <w:t>v3如何修改</w:t>
            </w:r>
          </w:p>
        </w:tc>
        <w:tc>
          <w:tcPr>
            <w:tcW w:type="dxa" w:w="2408"/>
          </w:tcPr>
          <w:p>
            <w:r>
              <w:rPr>
                <w:rFonts w:ascii="黑体" w:hAnsi="黑体" w:eastAsia="黑体"/>
                <w:b/>
                <w:sz w:val="18"/>
              </w:rPr>
              <w:t>改动价值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开头（原第2—6段）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“A/B”介绍后，将烟农“三大愁”混在一段；三方主体不够清晰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先亮三题，分述烟农调剂、合作社抢修、行业投入；再解释根因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让外行业务评委在前45秒形成画面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123主线（原第6段）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“1234”一口气堆出四套概念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简化为“建一库采数、两模析数、三智用数”；四队进智管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数字框架与技术方法一一对应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一库（原第7—9段）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“旧台账电子化”不够亮，维修评价来源不清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交代原表导入、编码关联、18关键部位、扫码/后几位、评价回写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讲数据为什么能持续积累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一库→两模（原第10段）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单独问句“怎么用到维修和投入”生硬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“知道有多少房，不等于知道先修谁、哪里建”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逻辑从数据的局限自然走到模型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模型1（原第11—12段）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AHP/威布尔齐堆；“输入”像重复录入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明确“调取库数据—AHP+威布尔计算—风险/部位TOP3/维修顺序”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保留技术深度，砍掉多余修辞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模型2（原第13—16段）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数需评推比较密，存量—增量逻辑较晚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模型前先讲“旧房能用多少，新房才有资格谈该不该建”，然后四步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记得住模型间关系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两模→三智（原第17段）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“模型算得出，更要业务用得上”泛泛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明确“谁用？怎么用？”以三种实际操作回答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由技术展示转为业务故事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智用（原第17—18段）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功能列表短、缺场景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急着进房→搜索申请→设备故障→报修进度→评价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占用数篇幅、增强代入感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智投（原第19—20段）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只讲维修建议和新建结果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在原功能基础上讲“配件价格/寿命比较”和“新建2栋/3栋沙盘推演”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说明真正怎么决策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智管（原第21—25段）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流程、四队、基金相对割裂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报修单贯穿“派单—维修—验收—回写”，队伍和基金解释落地保障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体现数字流程与组织机制双闭环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成绩与收束（原第25—29段）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数字长串；“数据不睡觉”等空话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精简可解释数字、回扣三个痛点，强调“现场数据—决策—现场结果”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有力度、易记，不虚夸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背诵线索与节奏建议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视频30秒→亮三题与场景约85秒→一库约45秒→两模约85秒→三智约180秒→成效结尾约45秒。以上为排练目标不是已验证时长；需按PPT点击和演示实际计时。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“一库摸家底→两个模型算账→三个智慧办事→结果回库”的循环可用一张主架构图贯穿演讲；避免反复讲“技术赋能”，改讲实际操作和业务输出。</w:t>
      </w:r>
    </w:p>
    <w:sectPr w:rsidR="00FC693F" w:rsidRPr="0006063C" w:rsidSect="00034616">
      <w:pgSz w:w="12240" w:h="15840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