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p>
      <w:pPr>
        <w:pStyle w:val="Heading2"/>
      </w:pPr>
      <w:r>
        <w:t>第二十一章 V4进一步澄清的算法源流与现场推理链</w:t>
      </w:r>
    </w:p>
    <w:p>
      <w:pPr>
        <w:pStyle w:val="Heading2"/>
      </w:pPr>
      <w:r>
        <w:t>21.1 资产信息是模型可信的边界</w:t>
      </w:r>
    </w:p>
    <w:p>
      <w:pPr/>
      <w:r>
        <w:t>第一模型的可靠性先取决于数字档案是否能证明是同一座烤房：编号、地理位置、建造年份、部件现状、维修修复年、人工评价要有统一时点。低代码工具负责降低采集门槛，不意味着每条现场数据都天然正确；还需要字段校验、重复识别与业务审核。</w:t>
      </w:r>
    </w:p>
    <w:p>
      <w:pPr>
        <w:pStyle w:val="Heading2"/>
      </w:pPr>
      <w:r>
        <w:t>21.2 健康分与部件寿命不是同一个概念</w:t>
      </w:r>
    </w:p>
    <w:p>
      <w:pPr/>
      <w:r>
        <w:t>最新PPT第8页图显示，针对十二个计算参数逐项考虑已用年限、指导寿命、状态系数，形成部件健康得分、风险贡献排序和整栋H值。综合H=0.80P_norm+0.10M+0.10E，是当前演示图中的表达。寿命计算结合关键短板寿命、部件加权平均寿命与健康系数，结果用于关注/维修提示，而不是精确到某日故障预测。</w:t>
      </w:r>
    </w:p>
    <w:p>
      <w:pPr>
        <w:pStyle w:val="Heading2"/>
      </w:pPr>
      <w:r>
        <w:t>21.3 PPT内部寿命表述一致性</w:t>
      </w:r>
    </w:p>
    <w:p>
      <w:pPr/>
      <w:r>
        <w:t>PPT第9页“以Weibull distribution拟合剩余寿命”的一句与第8页展示的短板加权合成公式不完全是同一个计算路径。需要研发人员回答二者是并行、替代还是不同版本；V4演讲不指定尚未在官方材料中统一的分布参数，只说“结合使用年限估算剩余寿命”。答辩时必须带可核对的模型流程和参数说明。</w:t>
      </w:r>
    </w:p>
    <w:p>
      <w:pPr>
        <w:pStyle w:val="Heading2"/>
      </w:pPr>
      <w:r>
        <w:t>21.4 村级需求先问“有效”，再问“新建”</w:t>
      </w:r>
    </w:p>
    <w:p>
      <w:pPr/>
      <w:r>
        <w:t>名义上有多少栋不等于真正可用烤能。需要按健康状况、地点、烟叶生产需求等条件将供给折算成有效烤能Q，再与理论需求D比较。若忽略可修复存量，容易误判为必须新建；若忽略空间距离，容易名义富余实际紧张。</w:t>
      </w:r>
    </w:p>
    <w:p>
      <w:pPr>
        <w:pStyle w:val="Heading2"/>
      </w:pPr>
      <w:r>
        <w:t>21.5 AHP、熵权和TOPSIS的分工</w:t>
      </w:r>
    </w:p>
    <w:p>
      <w:pPr/>
      <w:r>
        <w:t>AHP吸收专家对候选点指标重要性的判断，熵权依据样本区分度给出客观权重；组合赋权后，TOPSIS用于形成候选点排序。排序是候选方案的对比工具而非行政许可；模型还需要以空间地图、建设数量模拟和现场踏勘作为实施约束。</w:t>
      </w:r>
    </w:p>
    <w:p>
      <w:pPr>
        <w:pStyle w:val="Heading2"/>
      </w:pPr>
      <w:r>
        <w:t>21.6 两模联动带来真正的管理创新</w:t>
      </w:r>
    </w:p>
    <w:p>
      <w:pPr/>
      <w:r>
        <w:t>健康评估不是只决定当年维修清单，它会改变有效烤能Q，从而反过来改变千亩村是否真正需要新建、需要多少和应当在哪里建的结论。此联系是比单独叠加AHP与TOPSIS更值得现场强调的创新点。</w:t>
      </w:r>
    </w:p>
    <w:p>
      <w:pPr>
        <w:pStyle w:val="Heading2"/>
      </w:pPr>
      <w:r>
        <w:t>21.7 三智的改进来自“回写”而不只来自“在线”</w:t>
      </w:r>
    </w:p>
    <w:p>
      <w:pPr/>
      <w:r>
        <w:t>智用中的查询、调剂和报修形成动态业务记录；智投引用模型和情景比较形成资金配置建议；智管在派单、维修、验收和评价后更新档案。缺少回写，健康分会滞后；没有线下队伍，工单只有状态、没有处置。</w:t>
      </w:r>
    </w:p>
    <w:p>
      <w:pPr>
        <w:pStyle w:val="Heading2"/>
      </w:pPr>
      <w:r>
        <w:t>21.8 四队使数字系统有线下执行能力</w:t>
      </w:r>
    </w:p>
    <w:p>
      <w:pPr/>
      <w:r>
        <w:t>烟叶调制队、紧急抢修队、日常管护队和综合管理队分工不同，其绩效与责任须由标准流程与基金收支共同支撑。基金总额近190万元是资金治理规模指标，不应误当可用余额，必须与实际花费、结算、服务时效分开统计。</w:t>
      </w:r>
    </w:p>
    <w:p>
      <w:pPr>
        <w:pStyle w:val="Heading2"/>
      </w:pPr>
      <w:r>
        <w:t>21.9 指标口径与可扩展边界</w:t>
      </w:r>
    </w:p>
    <w:p>
      <w:pPr/>
      <w:r>
        <w:t>2442是全口径建档对象；1672是本年度在用分母；1363是合作社统筹管护范围，覆盖在用的约81%；18条报修与16条可计算平均响应的工单不同；531份有效问卷与综合满意度96.8%成对出现。把不同数据统一说成“全部覆盖、全部完成”不符合正式成果。</w:t>
      </w:r>
    </w:p>
    <w:p>
      <w:pPr>
        <w:pStyle w:val="Heading2"/>
      </w:pPr>
      <w:r>
        <w:t>21.10 原稿案例的保留方式</w:t>
      </w:r>
    </w:p>
    <w:p>
      <w:pPr/>
      <w:r>
        <w:t>磨坪站雷击抢修、150栋核心设备更新、肖家坪7栋新建、12478张现场影像、6704条评价、66人团队、以及12.6天缩短至11天等案例都出现在历史口述或底稿，但尚缺与最新版报送一致的独立验收或统计核对。它们可以作为团队后续补证的清单，不擅自移植到V4主台词。</w:t>
      </w:r>
    </w:p>
    <w:p>
      <w:pPr>
        <w:pStyle w:val="Heading2"/>
      </w:pPr>
      <w:r>
        <w:t>表｜V4决赛表述可追溯与不可越界事项</w:t>
      </w:r>
    </w:p>
    <w:tbl>
      <w:tblPr>
        <w:tblStyle w:val="TableGrid"/>
        <w:tblW w:type="auto" w:w="0"/>
        <w:jc w:val="center"/>
        <w:tblLook w:firstColumn="1" w:firstRow="1" w:lastColumn="0" w:lastRow="0" w:noHBand="0" w:noVBand="1" w:val="04A0"/>
      </w:tblPr>
      <w:tblGrid>
        <w:gridCol w:w="3154"/>
        <w:gridCol w:w="3154"/>
        <w:gridCol w:w="3154"/>
      </w:tblGrid>
      <w:tr>
        <w:tc>
          <w:tcPr>
            <w:tcW w:type="dxa" w:w="3154"/>
          </w:tcPr>
          <w:p>
            <w:r>
              <w:t>内容</w:t>
            </w:r>
          </w:p>
        </w:tc>
        <w:tc>
          <w:tcPr>
            <w:tcW w:type="dxa" w:w="3154"/>
          </w:tcPr>
          <w:p>
            <w:r>
              <w:t>可说的边界</w:t>
            </w:r>
          </w:p>
        </w:tc>
        <w:tc>
          <w:tcPr>
            <w:tcW w:type="dxa" w:w="3154"/>
          </w:tcPr>
          <w:p>
            <w:r>
              <w:t>追问准备</w:t>
            </w:r>
          </w:p>
        </w:tc>
      </w:tr>
      <w:tr>
        <w:tc>
          <w:tcPr>
            <w:tcW w:type="dxa" w:w="3154"/>
          </w:tcPr>
          <w:p>
            <w:r>
              <w:t>一库</w:t>
            </w:r>
          </w:p>
        </w:tc>
        <w:tc>
          <w:tcPr>
            <w:tcW w:type="dxa" w:w="3154"/>
          </w:tcPr>
          <w:p>
            <w:r>
              <w:t>2442座全口径建档，四大部位18个现场清查项</w:t>
            </w:r>
          </w:p>
        </w:tc>
        <w:tc>
          <w:tcPr>
            <w:tcW w:type="dxa" w:w="3154"/>
          </w:tcPr>
          <w:p>
            <w:r>
              <w:t>场景编号一致性、采集数据校验</w:t>
            </w:r>
          </w:p>
        </w:tc>
      </w:tr>
      <w:tr>
        <w:tc>
          <w:tcPr>
            <w:tcW w:type="dxa" w:w="3154"/>
          </w:tcPr>
          <w:p>
            <w:r>
              <w:t>模型1</w:t>
            </w:r>
          </w:p>
        </w:tc>
        <w:tc>
          <w:tcPr>
            <w:tcW w:type="dxa" w:w="3154"/>
          </w:tcPr>
          <w:p>
            <w:r>
              <w:t>H分和寿命估计形成风险部位排序</w:t>
            </w:r>
          </w:p>
        </w:tc>
        <w:tc>
          <w:tcPr>
            <w:tcW w:type="dxa" w:w="3154"/>
          </w:tcPr>
          <w:p>
            <w:r>
              <w:t>P8的12项算法参数与P6的18项采集映射</w:t>
            </w:r>
          </w:p>
        </w:tc>
      </w:tr>
      <w:tr>
        <w:tc>
          <w:tcPr>
            <w:tcW w:type="dxa" w:w="3154"/>
          </w:tcPr>
          <w:p>
            <w:r>
              <w:t>模型2</w:t>
            </w:r>
          </w:p>
        </w:tc>
        <w:tc>
          <w:tcPr>
            <w:tcW w:type="dxa" w:w="3154"/>
          </w:tcPr>
          <w:p>
            <w:r>
              <w:t>数需评推、Q/D、组合赋权TOPSIS和沙盘</w:t>
            </w:r>
          </w:p>
        </w:tc>
        <w:tc>
          <w:tcPr>
            <w:tcW w:type="dxa" w:w="3154"/>
          </w:tcPr>
          <w:p>
            <w:r>
              <w:t>权重来源、缺口标定及候选排序解释</w:t>
            </w:r>
          </w:p>
        </w:tc>
      </w:tr>
      <w:tr>
        <w:tc>
          <w:tcPr>
            <w:tcW w:type="dxa" w:w="3154"/>
          </w:tcPr>
          <w:p>
            <w:r>
              <w:t>智用</w:t>
            </w:r>
          </w:p>
        </w:tc>
        <w:tc>
          <w:tcPr>
            <w:tcW w:type="dxa" w:w="3154"/>
          </w:tcPr>
          <w:p>
            <w:r>
              <w:t>48次调剂、18次报修、16条平均响应0.38h</w:t>
            </w:r>
          </w:p>
        </w:tc>
        <w:tc>
          <w:tcPr>
            <w:tcW w:type="dxa" w:w="3154"/>
          </w:tcPr>
          <w:p>
            <w:r>
              <w:t>抢修完成时长与响应时长区别</w:t>
            </w:r>
          </w:p>
        </w:tc>
      </w:tr>
      <w:tr>
        <w:tc>
          <w:tcPr>
            <w:tcW w:type="dxa" w:w="3154"/>
          </w:tcPr>
          <w:p>
            <w:r>
              <w:t>智管</w:t>
            </w:r>
          </w:p>
        </w:tc>
        <w:tc>
          <w:tcPr>
            <w:tcW w:type="dxa" w:w="3154"/>
          </w:tcPr>
          <w:p>
            <w:r>
              <w:t>队伍、派单、验收、评价回写</w:t>
            </w:r>
          </w:p>
        </w:tc>
        <w:tc>
          <w:tcPr>
            <w:tcW w:type="dxa" w:w="3154"/>
          </w:tcPr>
          <w:p>
            <w:r>
              <w:t>工单是否闭环、回写更新时间</w:t>
            </w:r>
          </w:p>
        </w:tc>
      </w:tr>
      <w:tr>
        <w:tc>
          <w:tcPr>
            <w:tcW w:type="dxa" w:w="3154"/>
          </w:tcPr>
          <w:p>
            <w:r>
              <w:t>四队</w:t>
            </w:r>
          </w:p>
        </w:tc>
        <w:tc>
          <w:tcPr>
            <w:tcW w:type="dxa" w:w="3154"/>
          </w:tcPr>
          <w:p>
            <w:r>
              <w:t>1363/1672约81%、基金近190万元</w:t>
            </w:r>
          </w:p>
        </w:tc>
        <w:tc>
          <w:tcPr>
            <w:tcW w:type="dxa" w:w="3154"/>
          </w:tcPr>
          <w:p>
            <w:r>
              <w:t>制度有效性、基金账面余额</w:t>
            </w:r>
          </w:p>
        </w:tc>
      </w:tr>
    </w:tbl>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