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V6修改对照｜9.30原稿、V1—V5与QC成果发布词</w:t>
      </w:r>
    </w:p>
    <w:p>
      <w:r>
        <w:t>重点是保留项目最初优势、恢复真正技术和证明、剔除无验收依据的完成性表述。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原有优点/争议</w:t>
            </w:r>
          </w:p>
        </w:tc>
        <w:tc>
          <w:tcPr>
            <w:tcW w:type="dxa" w:w="3229"/>
          </w:tcPr>
          <w:p>
            <w:r>
              <w:t>V6采用方案</w:t>
            </w:r>
          </w:p>
        </w:tc>
        <w:tc>
          <w:tcPr>
            <w:tcW w:type="dxa" w:w="3229"/>
          </w:tcPr>
          <w:p>
            <w:r>
              <w:t>PPT页码</w:t>
            </w:r>
          </w:p>
        </w:tc>
      </w:tr>
      <w:tr>
        <w:tc>
          <w:tcPr>
            <w:tcW w:type="dxa" w:w="3229"/>
          </w:tcPr>
          <w:p>
            <w:r>
              <w:t>9.30“匠心工坊”与“三缺”</w:t>
            </w:r>
          </w:p>
        </w:tc>
        <w:tc>
          <w:tcPr>
            <w:tcW w:type="dxa" w:w="3229"/>
          </w:tcPr>
          <w:p>
            <w:r>
              <w:t>保留；用烟农三愁引出行业三缺</w:t>
            </w:r>
          </w:p>
        </w:tc>
        <w:tc>
          <w:tcPr>
            <w:tcW w:type="dxa" w:w="3229"/>
          </w:tcPr>
          <w:p>
            <w:r>
              <w:t>P3–P4</w:t>
            </w:r>
          </w:p>
        </w:tc>
      </w:tr>
      <w:tr>
        <w:tc>
          <w:tcPr>
            <w:tcW w:type="dxa" w:w="3229"/>
          </w:tcPr>
          <w:p>
            <w:r>
              <w:t>“1234”总方案</w:t>
            </w:r>
          </w:p>
        </w:tc>
        <w:tc>
          <w:tcPr>
            <w:tcW w:type="dxa" w:w="3229"/>
          </w:tcPr>
          <w:p>
            <w:r>
              <w:t>四组数字各对应清楚业务作用</w:t>
            </w:r>
          </w:p>
        </w:tc>
        <w:tc>
          <w:tcPr>
            <w:tcW w:type="dxa" w:w="3229"/>
          </w:tcPr>
          <w:p>
            <w:r>
              <w:t>P5</w:t>
            </w:r>
          </w:p>
        </w:tc>
      </w:tr>
      <w:tr>
        <w:tc>
          <w:tcPr>
            <w:tcW w:type="dxa" w:w="3229"/>
          </w:tcPr>
          <w:p>
            <w:r>
              <w:t>四大部位18项清查及建档</w:t>
            </w:r>
          </w:p>
        </w:tc>
        <w:tc>
          <w:tcPr>
            <w:tcW w:type="dxa" w:w="3229"/>
          </w:tcPr>
          <w:p>
            <w:r>
              <w:t>保留真实采集范围与2442入库</w:t>
            </w:r>
          </w:p>
        </w:tc>
        <w:tc>
          <w:tcPr>
            <w:tcW w:type="dxa" w:w="3229"/>
          </w:tcPr>
          <w:p>
            <w:r>
              <w:t>P6</w:t>
            </w:r>
          </w:p>
        </w:tc>
      </w:tr>
      <w:tr>
        <w:tc>
          <w:tcPr>
            <w:tcW w:type="dxa" w:w="3229"/>
          </w:tcPr>
          <w:p>
            <w:r>
              <w:t>健康模型加权与风险处置</w:t>
            </w:r>
          </w:p>
        </w:tc>
        <w:tc>
          <w:tcPr>
            <w:tcW w:type="dxa" w:w="3229"/>
          </w:tcPr>
          <w:p>
            <w:r>
              <w:t>AHP、80/10/10、寿命及风险部位TOP3</w:t>
            </w:r>
          </w:p>
        </w:tc>
        <w:tc>
          <w:tcPr>
            <w:tcW w:type="dxa" w:w="3229"/>
          </w:tcPr>
          <w:p>
            <w:r>
              <w:t>P7–P9</w:t>
            </w:r>
          </w:p>
        </w:tc>
      </w:tr>
      <w:tr>
        <w:tc>
          <w:tcPr>
            <w:tcW w:type="dxa" w:w="3229"/>
          </w:tcPr>
          <w:p>
            <w:r>
              <w:t>发展导引不足以一句“地图沙盘”带过</w:t>
            </w:r>
          </w:p>
        </w:tc>
        <w:tc>
          <w:tcPr>
            <w:tcW w:type="dxa" w:w="3229"/>
          </w:tcPr>
          <w:p>
            <w:r>
              <w:t>数需评推、Q/D、AHP+熵权、TOPSIS、情景推演</w:t>
            </w:r>
          </w:p>
        </w:tc>
        <w:tc>
          <w:tcPr>
            <w:tcW w:type="dxa" w:w="3229"/>
          </w:tcPr>
          <w:p>
            <w:r>
              <w:t>P10–P11</w:t>
            </w:r>
          </w:p>
        </w:tc>
      </w:tr>
      <w:tr>
        <w:tc>
          <w:tcPr>
            <w:tcW w:type="dxa" w:w="3229"/>
          </w:tcPr>
          <w:p>
            <w:r>
              <w:t>QC因果论证</w:t>
            </w:r>
          </w:p>
        </w:tc>
        <w:tc>
          <w:tcPr>
            <w:tcW w:type="dxa" w:w="3229"/>
          </w:tcPr>
          <w:p>
            <w:r>
              <w:t>B从评审视角追问、A以模型输入输出与运行实绩作答</w:t>
            </w:r>
          </w:p>
        </w:tc>
        <w:tc>
          <w:tcPr>
            <w:tcW w:type="dxa" w:w="3229"/>
          </w:tcPr>
          <w:p>
            <w:r>
              <w:t>全篇</w:t>
            </w:r>
          </w:p>
        </w:tc>
      </w:tr>
      <w:tr>
        <w:tc>
          <w:tcPr>
            <w:tcW w:type="dxa" w:w="3229"/>
          </w:tcPr>
          <w:p>
            <w:r>
              <w:t>智用报修与调剂</w:t>
            </w:r>
          </w:p>
        </w:tc>
        <w:tc>
          <w:tcPr>
            <w:tcW w:type="dxa" w:w="3229"/>
          </w:tcPr>
          <w:p>
            <w:r>
              <w:t>48调剂、18报修、16条0.38小时严格分样本</w:t>
            </w:r>
          </w:p>
        </w:tc>
        <w:tc>
          <w:tcPr>
            <w:tcW w:type="dxa" w:w="3229"/>
          </w:tcPr>
          <w:p>
            <w:r>
              <w:t>P14–P15</w:t>
            </w:r>
          </w:p>
        </w:tc>
      </w:tr>
      <w:tr>
        <w:tc>
          <w:tcPr>
            <w:tcW w:type="dxa" w:w="3229"/>
          </w:tcPr>
          <w:p>
            <w:r>
              <w:t>智投和智管</w:t>
            </w:r>
          </w:p>
        </w:tc>
        <w:tc>
          <w:tcPr>
            <w:tcW w:type="dxa" w:w="3229"/>
          </w:tcPr>
          <w:p>
            <w:r>
              <w:t>340多栋风险研判、真实派单验收回写</w:t>
            </w:r>
          </w:p>
        </w:tc>
        <w:tc>
          <w:tcPr>
            <w:tcW w:type="dxa" w:w="3229"/>
          </w:tcPr>
          <w:p>
            <w:r>
              <w:t>P16–P19</w:t>
            </w:r>
          </w:p>
        </w:tc>
      </w:tr>
      <w:tr>
        <w:tc>
          <w:tcPr>
            <w:tcW w:type="dxa" w:w="3229"/>
          </w:tcPr>
          <w:p>
            <w:r>
              <w:t>四队与组织保障</w:t>
            </w:r>
          </w:p>
        </w:tc>
        <w:tc>
          <w:tcPr>
            <w:tcW w:type="dxa" w:w="3229"/>
          </w:tcPr>
          <w:p>
            <w:r>
              <w:t>职责、制度、1363/1672和基金总额近190万</w:t>
            </w:r>
          </w:p>
        </w:tc>
        <w:tc>
          <w:tcPr>
            <w:tcW w:type="dxa" w:w="3229"/>
          </w:tcPr>
          <w:p>
            <w:r>
              <w:t>P20–P21</w:t>
            </w:r>
          </w:p>
        </w:tc>
      </w:tr>
      <w:tr>
        <w:tc>
          <w:tcPr>
            <w:tcW w:type="dxa" w:w="3229"/>
          </w:tcPr>
          <w:p>
            <w:r>
              <w:t>项目初稿95.8%满意度</w:t>
            </w:r>
          </w:p>
        </w:tc>
        <w:tc>
          <w:tcPr>
            <w:tcW w:type="dxa" w:w="3229"/>
          </w:tcPr>
          <w:p>
            <w:r>
              <w:t>使用正式报送531份96.8%</w:t>
            </w:r>
          </w:p>
        </w:tc>
        <w:tc>
          <w:tcPr>
            <w:tcW w:type="dxa" w:w="3229"/>
          </w:tcPr>
          <w:p>
            <w:r>
              <w:t>P22</w:t>
            </w:r>
          </w:p>
        </w:tc>
      </w:tr>
      <w:tr>
        <w:tc>
          <w:tcPr>
            <w:tcW w:type="dxa" w:w="3229"/>
          </w:tcPr>
          <w:p>
            <w:r>
              <w:t>150栋/7栋已完成、66人等历史表述</w:t>
            </w:r>
          </w:p>
        </w:tc>
        <w:tc>
          <w:tcPr>
            <w:tcW w:type="dxa" w:w="3229"/>
          </w:tcPr>
          <w:p>
            <w:r>
              <w:t>转为备查线索，未有验收证据不报完成</w:t>
            </w:r>
          </w:p>
        </w:tc>
        <w:tc>
          <w:tcPr>
            <w:tcW w:type="dxa" w:w="3229"/>
          </w:tcPr>
          <w:p>
            <w:r>
              <w:t>答辩备查</w:t>
            </w:r>
          </w:p>
        </w:tc>
      </w:tr>
      <w:tr>
        <w:tc>
          <w:tcPr>
            <w:tcW w:type="dxa" w:w="3229"/>
          </w:tcPr>
          <w:p>
            <w:r>
              <w:t>跨县推广</w:t>
            </w:r>
          </w:p>
        </w:tc>
        <w:tc>
          <w:tcPr>
            <w:tcW w:type="dxa" w:w="3229"/>
          </w:tcPr>
          <w:p>
            <w:r>
              <w:t>秭归一季试点，跨区需校准参数和机制</w:t>
            </w:r>
          </w:p>
        </w:tc>
        <w:tc>
          <w:tcPr>
            <w:tcW w:type="dxa" w:w="3229"/>
          </w:tcPr>
          <w:p>
            <w:r>
              <w:t>P23–P24</w:t>
            </w:r>
          </w:p>
        </w:tc>
      </w:tr>
    </w:tbl>
    <w:sectPr w:rsidR="00FC693F" w:rsidRPr="0006063C" w:rsidSect="00034616"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