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V6逐页彩排卡｜A/B 70/30，含30秒视频的8分钟发布</w:t>
      </w:r>
    </w:p>
    <w:p>
      <w:r>
        <w:t>按220汉字/分钟的保守口播估算，仍需现场逐秒计时。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统计量</w:t>
            </w:r>
          </w:p>
        </w:tc>
        <w:tc>
          <w:tcPr>
            <w:tcW w:type="dxa" w:w="4844"/>
          </w:tcPr>
          <w:p>
            <w:r>
              <w:t>计时或判定</w:t>
            </w:r>
          </w:p>
        </w:tc>
      </w:tr>
      <w:tr>
        <w:tc>
          <w:tcPr>
            <w:tcW w:type="dxa" w:w="4844"/>
          </w:tcPr>
          <w:p>
            <w:r>
              <w:t>A口述</w:t>
            </w:r>
          </w:p>
        </w:tc>
        <w:tc>
          <w:tcPr>
            <w:tcW w:type="dxa" w:w="4844"/>
          </w:tcPr>
          <w:p>
            <w:r>
              <w:t>1094汉字</w:t>
            </w:r>
          </w:p>
        </w:tc>
      </w:tr>
      <w:tr>
        <w:tc>
          <w:tcPr>
            <w:tcW w:type="dxa" w:w="4844"/>
          </w:tcPr>
          <w:p>
            <w:r>
              <w:t>B口述</w:t>
            </w:r>
          </w:p>
        </w:tc>
        <w:tc>
          <w:tcPr>
            <w:tcW w:type="dxa" w:w="4844"/>
          </w:tcPr>
          <w:p>
            <w:r>
              <w:t>465汉字</w:t>
            </w:r>
          </w:p>
        </w:tc>
      </w:tr>
      <w:tr>
        <w:tc>
          <w:tcPr>
            <w:tcW w:type="dxa" w:w="4844"/>
          </w:tcPr>
          <w:p>
            <w:r>
              <w:t>A比例</w:t>
            </w:r>
          </w:p>
        </w:tc>
        <w:tc>
          <w:tcPr>
            <w:tcW w:type="dxa" w:w="4844"/>
          </w:tcPr>
          <w:p>
            <w:r>
              <w:t>70.17%</w:t>
            </w:r>
          </w:p>
        </w:tc>
      </w:tr>
      <w:tr>
        <w:tc>
          <w:tcPr>
            <w:tcW w:type="dxa" w:w="4844"/>
          </w:tcPr>
          <w:p>
            <w:r>
              <w:t>220字/分</w:t>
            </w:r>
          </w:p>
        </w:tc>
        <w:tc>
          <w:tcPr>
            <w:tcW w:type="dxa" w:w="4844"/>
          </w:tcPr>
          <w:p>
            <w:r>
              <w:t>425.2秒</w:t>
            </w:r>
          </w:p>
        </w:tc>
      </w:tr>
      <w:tr>
        <w:tc>
          <w:tcPr>
            <w:tcW w:type="dxa" w:w="4844"/>
          </w:tcPr>
          <w:p>
            <w:r>
              <w:t>视频/切页</w:t>
            </w:r>
          </w:p>
        </w:tc>
        <w:tc>
          <w:tcPr>
            <w:tcW w:type="dxa" w:w="4844"/>
          </w:tcPr>
          <w:p>
            <w:r>
              <w:t>30秒＋20秒</w:t>
            </w:r>
          </w:p>
        </w:tc>
      </w:tr>
      <w:tr>
        <w:tc>
          <w:tcPr>
            <w:tcW w:type="dxa" w:w="4844"/>
          </w:tcPr>
          <w:p>
            <w:r>
              <w:t>目标总时长</w:t>
            </w:r>
          </w:p>
        </w:tc>
        <w:tc>
          <w:tcPr>
            <w:tcW w:type="dxa" w:w="4844"/>
          </w:tcPr>
          <w:p>
            <w:r>
              <w:t>475.2秒（应控制≤480秒）</w:t>
            </w:r>
          </w:p>
        </w:tc>
      </w:tr>
    </w:tbl>
    <w:p>
      <w:pPr>
        <w:pStyle w:val="Heading2"/>
      </w:pPr>
      <w:r>
        <w:t>P1｜封面·正式开场</w:t>
      </w:r>
    </w:p>
    <w:p>
      <w:r>
        <w:t>A：尊敬的各位领导、各位评委，大家好！我们是宜昌烟草“智同道合”创客小组。今天汇报的项目是——《智烤管家》，基于健康评估的烤房用投管一体化解决方案。</w:t>
      </w:r>
    </w:p>
    <w:p>
      <w:r>
        <w:t>B：站在评审视角，我想先问：一座烤房，为什么需要数字管家？</w:t>
      </w:r>
    </w:p>
    <w:p>
      <w:r>
        <w:t>A：因为烤房连着烟叶品质，更连着烟农收成。</w:t>
      </w:r>
    </w:p>
    <w:p>
      <w:pPr>
        <w:pStyle w:val="Heading2"/>
      </w:pPr>
      <w:r>
        <w:t>P2｜开场视频·静默30秒</w:t>
      </w:r>
    </w:p>
    <w:p>
      <w:r>
        <w:t>【导演提示】开场视频必须剪至30秒，原素材约41.5秒。</w:t>
      </w:r>
    </w:p>
    <w:p>
      <w:pPr>
        <w:pStyle w:val="Heading2"/>
      </w:pPr>
      <w:r>
        <w:t>P3｜三愁·从烟农身边的问题切入</w:t>
      </w:r>
    </w:p>
    <w:p>
      <w:r>
        <w:t>A：这座烟叶提质增香的“匠心工坊”，一到烘烤旺季，却让烟农遇到三件烦心事。</w:t>
      </w:r>
    </w:p>
    <w:p>
      <w:r>
        <w:t>B：想用，调不到；想修，等不及；想问，问不明。空房在哪、抢修找谁、进度到哪，烟农急，基层也急。</w:t>
      </w:r>
    </w:p>
    <w:p>
      <w:pPr>
        <w:pStyle w:val="Heading2"/>
      </w:pPr>
      <w:r>
        <w:t>P4｜三缺·从现象转到管理症结</w:t>
      </w:r>
    </w:p>
    <w:p>
      <w:r>
        <w:t>A：深入调研，我们发现，三愁背后是三缺：资源无统筹、投入无量化、管护无闭环。有房未必调得动，有钱未必投得准，有人未必管得久。</w:t>
      </w:r>
    </w:p>
    <w:p>
      <w:r>
        <w:t>B：那么，怎样把分散的资源、决策和服务，真正接成一条链？</w:t>
      </w:r>
    </w:p>
    <w:p>
      <w:pPr>
        <w:pStyle w:val="Heading2"/>
      </w:pPr>
      <w:r>
        <w:t>P5｜1234·亮出系统解法</w:t>
      </w:r>
    </w:p>
    <w:p>
      <w:r>
        <w:t>A：我们的答案是“1234”：一库见底、两模决策、三智落地、四队长效。让数据支撑决策，让决策落地闭环。</w:t>
      </w:r>
    </w:p>
    <w:p>
      <w:r>
        <w:t>B：也就是从“看不清、算不准、管不住”，走向“底数清、决策准、服务实”。</w:t>
      </w:r>
    </w:p>
    <w:p>
      <w:pPr>
        <w:pStyle w:val="Heading2"/>
      </w:pPr>
      <w:r>
        <w:t>P6｜一库·数据从何而来</w:t>
      </w:r>
    </w:p>
    <w:p>
      <w:r>
        <w:t>A：一库见底。依托二十二个低代码应用，手机拍照定位，清查加热、散热、自控、主体四大部位十八项设备，逐项记录正常、损坏、缺失，关联维修与评价，形成一房一档、六类报表。秭归二千四百四十二座烤房全口径建档。</w:t>
      </w:r>
    </w:p>
    <w:p>
      <w:r>
        <w:t>B：但建档只是起点。评委更关心：这些数据，凭什么能指导维修和建设？</w:t>
      </w:r>
    </w:p>
    <w:p>
      <w:pPr>
        <w:pStyle w:val="Heading2"/>
      </w:pPr>
      <w:r>
        <w:t>P7—P9｜双模之一·健康评估的技术路径</w:t>
      </w:r>
    </w:p>
    <w:p>
      <w:r>
        <w:t>A：第一模，烤房健康评估，分三步。第一步，汇入档案、部件、检查评价和管护维修记录；第二步，运用AHP层次分析法确定部件权重，按部件健康八成、管护一成、评价一成计算整栋健康分，并结合部件年限和状态预测剩余寿命；第三步，输出风险烤房、风险部位前三位和维修优先清单。</w:t>
      </w:r>
    </w:p>
    <w:p>
      <w:r>
        <w:t>B：换句话说，不再是谁报得急就先修谁，而是先量化风险，再由专业人员核验、维修。</w:t>
      </w:r>
    </w:p>
    <w:p>
      <w:r>
        <w:t>A：模型提供判断依据，不替代现场验收。</w:t>
      </w:r>
    </w:p>
    <w:p>
      <w:r>
        <w:t>【导演提示】AHP/TOPSIS读法提前统一，数需评推四字稍作停顿。</w:t>
      </w:r>
    </w:p>
    <w:p>
      <w:pPr>
        <w:pStyle w:val="Heading2"/>
      </w:pPr>
      <w:r>
        <w:t>P10—P11｜双模之二·村级建设导引</w:t>
      </w:r>
    </w:p>
    <w:p>
      <w:r>
        <w:t>B：健康评分解决“先修谁”。另一个评审问题是：烤房究竟缺不缺，应该建在哪里？</w:t>
      </w:r>
    </w:p>
    <w:p>
      <w:r>
        <w:t>A：第二模，千亩村发展导引，按照“数、需、评、推”四步展开：“数”，汇集烤房、烟叶生产、村情和候选点；“需”，将健康状态折算为有效烤能Q，与理论需求D比较，测算缺口；“评”，以AHP层次分析法和熵权法组合赋权，使用TOPSIS形成候选点排序；“推”，在地图沙盘中模拟新增栋数、点位，复算供需和发展指数。</w:t>
      </w:r>
    </w:p>
    <w:p>
      <w:r>
        <w:t>B：这里最重要的创新，是双模联动：旧房的健康状况，会改变有效烤能，进而改变新建需求。</w:t>
      </w:r>
    </w:p>
    <w:p>
      <w:r>
        <w:t>A：先盘活存量，再研判增量，让修复和新建都有数据依据。</w:t>
      </w:r>
    </w:p>
    <w:p>
      <w:r>
        <w:t>【导演提示】AHP/TOPSIS读法提前统一，数需评推四字稍作停顿。</w:t>
      </w:r>
    </w:p>
    <w:p>
      <w:pPr>
        <w:pStyle w:val="Heading2"/>
      </w:pPr>
      <w:r>
        <w:t>P12—P13｜三智·使模型进入业务</w:t>
      </w:r>
    </w:p>
    <w:p>
      <w:r>
        <w:t>A：模型算得出，更要落实得了。我们连接烟农、合作社和烟草管理人员，形成智用、智投、智管三类场景；业务发生、数据回写、模型复算，形成完整循环。</w:t>
      </w:r>
    </w:p>
    <w:p>
      <w:r>
        <w:t>B：接下来，我想追问第二个问题：平台上线后，烟农究竟获得了什么？</w:t>
      </w:r>
    </w:p>
    <w:p>
      <w:pPr>
        <w:pStyle w:val="Heading2"/>
      </w:pPr>
      <w:r>
        <w:t>P14—P15｜智用·服务效果要有证据</w:t>
      </w:r>
    </w:p>
    <w:p>
      <w:r>
        <w:t>A：智用让烟农查周边烤房、申请调剂、一键报修、跟踪进度、评价服务。一个烤季记录四十八次调剂、十八次报修，抢修均控制在三小时内；其中十六条平台工单，平均响应零点三八小时。</w:t>
      </w:r>
    </w:p>
    <w:p>
      <w:r>
        <w:t>B：从四处打电话，到线上找管家，缩短的不只是等待，更是烘烤生产的风险。</w:t>
      </w:r>
    </w:p>
    <w:p>
      <w:r>
        <w:t>【导演提示】内嵌演示视频不额外完整加播，可同步短片或静帧。</w:t>
      </w:r>
    </w:p>
    <w:p>
      <w:pPr>
        <w:pStyle w:val="Heading2"/>
      </w:pPr>
      <w:r>
        <w:t>P16—P17｜智投·把技术变成清单</w:t>
      </w:r>
    </w:p>
    <w:p>
      <w:r>
        <w:t>A：智投把模型变成投入依据：筛查出健康分低于六十分的三百四十多座风险烤房，形成维修优先建议；新建则比较有效烤能、候选点排名和情景推演结果。</w:t>
      </w:r>
    </w:p>
    <w:p>
      <w:r>
        <w:t>B：因此，“修哪栋、建哪里、建多少”，不再只凭经验，而有可复核的比较过程。</w:t>
      </w:r>
    </w:p>
    <w:p>
      <w:r>
        <w:t>【导演提示】内嵌演示视频不额外完整加播，可同步短片或静帧。</w:t>
      </w:r>
    </w:p>
    <w:p>
      <w:pPr>
        <w:pStyle w:val="Heading2"/>
      </w:pPr>
      <w:r>
        <w:t>P18—P19｜智管·结果回写与持续运转</w:t>
      </w:r>
    </w:p>
    <w:p>
      <w:r>
        <w:t>A：智管贯通申请、派单、处置、验收、评价和档案回写。设备修复后更新部件状态，重新计算健康分；网页后台、BI大屏和AI助手辅助查询、分析和督办。</w:t>
      </w:r>
    </w:p>
    <w:p>
      <w:r>
        <w:t>B：可是，数据有了、流程通了，谁来长期执行？这是第三个评审问题。</w:t>
      </w:r>
    </w:p>
    <w:p>
      <w:r>
        <w:t>【导演提示】内嵌演示视频不额外完整加播，可同步短片或静帧。</w:t>
      </w:r>
    </w:p>
    <w:p>
      <w:pPr>
        <w:pStyle w:val="Heading2"/>
      </w:pPr>
      <w:r>
        <w:t>P20—P21｜四队·将组织责任变成保障</w:t>
      </w:r>
    </w:p>
    <w:p>
      <w:r>
        <w:t>A：我们的回答是“四队长效”：烟叶调制队指导烘烤，紧急抢修队处置故障，日常养护队巡检设备，综合管理队统筹验收和基金。依托合作社，落实产权公有、专业管护、有偿服务，以两项制度固化职责与标准。</w:t>
      </w:r>
    </w:p>
    <w:p>
      <w:r>
        <w:t>B：有队伍，还要有资金、有覆盖、有持续运行的记录。</w:t>
      </w:r>
    </w:p>
    <w:p>
      <w:r>
        <w:t>A：目前两级合作社统筹管护一千三百六十三栋，占本年度一千六百七十二栋在用烤房约百分之八十一；管护基金总额近一百九十万元。队伍能履职、资金有来源，闭环才真正落地。</w:t>
      </w:r>
    </w:p>
    <w:p>
      <w:pPr>
        <w:pStyle w:val="Heading2"/>
      </w:pPr>
      <w:r>
        <w:t>P22｜运行成效·证据收束</w:t>
      </w:r>
    </w:p>
    <w:p>
      <w:r>
        <w:t>B：成效最终还要接受烟农检验。五百三十一份有效问卷，综合满意度百分之九十六点八。这既是成绩，也是继续改进服务的依据。</w:t>
      </w:r>
    </w:p>
    <w:p>
      <w:r>
        <w:t>A：从二千四百四十二座建档，到风险分级、调剂报修，再到合作社统筹管护，这份答卷有数据、有对象，也有实际服务。</w:t>
      </w:r>
    </w:p>
    <w:p>
      <w:pPr>
        <w:pStyle w:val="Heading2"/>
      </w:pPr>
      <w:r>
        <w:t>P23—P24｜创新与推广·明确边界</w:t>
      </w:r>
    </w:p>
    <w:p>
      <w:r>
        <w:t>A：智烤管家的创新，不在某一个按钮，而在三项贯通：资产状态与有效烤能贯通，双模研判与业务决策贯通，线上流程与线下管护贯通。项目已在秭归运行一个烤季；跨区推广前，先校准当地数据、模型和管护机制。</w:t>
      </w:r>
    </w:p>
    <w:p>
      <w:r>
        <w:t>B：值得推广的，不仅是一套软件，更是一套可核验、可执行、可持续的管理方法。</w:t>
      </w:r>
    </w:p>
    <w:p>
      <w:pPr>
        <w:pStyle w:val="Heading2"/>
      </w:pPr>
      <w:r>
        <w:t>P25｜收束·正式发布结尾</w:t>
      </w:r>
    </w:p>
    <w:p>
      <w:r>
        <w:t>A：一库清家底，两模明方向；三智解民忧，四队护长远。</w:t>
      </w:r>
    </w:p>
    <w:p>
      <w:r>
        <w:t>B：数据有依据，服务有回响；聚数成方，一脉致远。</w:t>
      </w:r>
    </w:p>
    <w:p>
      <w:r>
        <w:t>A：智烤管家，让每一座烤房发挥更大价值！</w:t>
      </w:r>
    </w:p>
    <w:p>
      <w:r>
        <w:t>B：我们的汇报完毕，谢谢各位评委！</w:t>
      </w:r>
    </w:p>
    <w:p>
      <w:pPr>
        <w:pStyle w:val="Heading2"/>
      </w:pPr>
      <w:r>
        <w:t>评委追问5条</w:t>
      </w:r>
    </w:p>
    <w:p>
      <w:r>
        <w:t>健康分分母：18项清查≠12项模型参数，赛前准备字段映射表。</w:t>
      </w:r>
    </w:p>
    <w:p>
      <w:r>
        <w:t>寿命估算：P8短板加权公式与P9 Weibull描述需统一实际实施方法，不报未经验证的预测精度。</w:t>
      </w:r>
    </w:p>
    <w:p>
      <w:r>
        <w:t>0.38小时：16条工单平均响应，不是18次故障的平均维修完成时间。</w:t>
      </w:r>
    </w:p>
    <w:p>
      <w:r>
        <w:t>基金：近190万元指基金总额，不等于当期结余。</w:t>
      </w:r>
    </w:p>
    <w:p>
      <w:r>
        <w:t>有效烤能：需交代健康状态变化怎样进入新建缺口计算和沙盘推演。</w:t>
      </w:r>
    </w:p>
    <w:sectPr w:rsidR="00FC693F" w:rsidRPr="0006063C" w:rsidSect="00034616">
      <w:pgSz w:w="12240" w:h="15840"/>
      <w:pgMar w:top="1191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