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QC成果发布词专项学习与V6成果化改写</w:t>
      </w:r>
    </w:p>
    <w:p>
      <w:r>
        <w:t>所研究的QC课题是《缩短烤房设备单次维护作业耗时》，约15分钟；V6项目上台只有8分钟。</w:t>
      </w:r>
    </w:p>
    <w:p>
      <w:pPr>
        <w:pStyle w:val="Heading2"/>
      </w:pPr>
      <w:r>
        <w:t>QC证据链的精髓</w:t>
      </w:r>
    </w:p>
    <w:p>
      <w:r>
        <w:t>QC原稿先有40分钟基准、26分钟目标，再通过14.9/12.2分钟症结调查、扫码与专用工具措施、60次作业17.9分钟结果建立因果闭环。V6学习的是证据组织方式，不把QC的数值当成本项目数据。</w:t>
      </w:r>
    </w:p>
    <w:p>
      <w:pPr>
        <w:pStyle w:val="Heading2"/>
      </w:pPr>
      <w:r>
        <w:t>B角身份调整</w:t>
      </w:r>
    </w:p>
    <w:p>
      <w:r>
        <w:t>QC原稿B以扎根现场的李师傅身份追问维护难题，符合15分钟QC场景。V6的B为项目组成员、评审视角提问者，依次追问“为何要管家”“算法为何可信”“实际效果与长期运行如何证明”，不假扮评委。</w:t>
      </w:r>
    </w:p>
    <w:p>
      <w:pPr>
        <w:pStyle w:val="Heading2"/>
      </w:pPr>
      <w:r>
        <w:t>保留专业并缩至8分钟</w:t>
      </w:r>
    </w:p>
    <w:p>
      <w:r>
        <w:t>QC中现状调查、目标设定、要因验证、实施、结果和巩固均有多轮介绍；本项目只用三愁三缺交代问题，双模解释方法，三智用真实数据验证，四队说明标准化持续。</w:t>
      </w:r>
    </w:p>
    <w:p>
      <w:pPr>
        <w:pStyle w:val="Heading2"/>
      </w:pPr>
      <w:r>
        <w:t>明确不能套用QC效益</w:t>
      </w:r>
    </w:p>
    <w:p>
      <w:r>
        <w:t>40降至17.9分钟、63.6万元年效益、扫码调取12秒、842台燃烧机、60次维护均属于金魔方QC课题；智烤没有对应同口径前后对照，不能改写成智烤的实际节时和收益。</w:t>
      </w:r>
    </w:p>
    <w:p>
      <w:pPr>
        <w:pStyle w:val="Heading2"/>
      </w:pPr>
      <w:r>
        <w:t>技术兼容两种评委</w:t>
      </w:r>
    </w:p>
    <w:p>
      <w:r>
        <w:t>信息评委看输入、权重、边界、输出；烟叶评委看有效烤能、旺季调剂、响应速度、队伍责任。每个技术段落须紧接业务价值，并说明人工审核与现场核验边界。</w:t>
      </w:r>
    </w:p>
    <w:p>
      <w:pPr>
        <w:pStyle w:val="Heading2"/>
      </w:pPr>
      <w:r>
        <w:t>语言节奏</w:t>
      </w:r>
    </w:p>
    <w:p>
      <w:r>
        <w:t>只在三愁三缺、1234亮相和结尾用对仗；技术段保持规范短句，不用“太棒了”“神奇”等捧哏或夸大词。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</w:tcPr>
          <w:p>
            <w:r>
              <w:t>QC现场展开</w:t>
            </w:r>
          </w:p>
        </w:tc>
        <w:tc>
          <w:tcPr>
            <w:tcW w:type="dxa" w:w="3229"/>
          </w:tcPr>
          <w:p>
            <w:r>
              <w:t>V6取舍</w:t>
            </w:r>
          </w:p>
        </w:tc>
        <w:tc>
          <w:tcPr>
            <w:tcW w:type="dxa" w:w="3229"/>
          </w:tcPr>
          <w:p>
            <w:r>
              <w:t>原因</w:t>
            </w:r>
          </w:p>
        </w:tc>
      </w:tr>
      <w:tr>
        <w:tc>
          <w:tcPr>
            <w:tcW w:type="dxa" w:w="3229"/>
          </w:tcPr>
          <w:p>
            <w:r>
              <w:t>调查基准、工序拆解、要因分析</w:t>
            </w:r>
          </w:p>
        </w:tc>
        <w:tc>
          <w:tcPr>
            <w:tcW w:type="dxa" w:w="3229"/>
          </w:tcPr>
          <w:p>
            <w:r>
              <w:t>三愁三缺概括问题</w:t>
            </w:r>
          </w:p>
        </w:tc>
        <w:tc>
          <w:tcPr>
            <w:tcW w:type="dxa" w:w="3229"/>
          </w:tcPr>
          <w:p>
            <w:r>
              <w:t>8分钟内先交代重点</w:t>
            </w:r>
          </w:p>
        </w:tc>
      </w:tr>
      <w:tr>
        <w:tc>
          <w:tcPr>
            <w:tcW w:type="dxa" w:w="3229"/>
          </w:tcPr>
          <w:p>
            <w:r>
              <w:t>三大对策、参数与实施过程</w:t>
            </w:r>
          </w:p>
        </w:tc>
        <w:tc>
          <w:tcPr>
            <w:tcW w:type="dxa" w:w="3229"/>
          </w:tcPr>
          <w:p>
            <w:r>
              <w:t>一库和双模简洁展示真实算法</w:t>
            </w:r>
          </w:p>
        </w:tc>
        <w:tc>
          <w:tcPr>
            <w:tcW w:type="dxa" w:w="3229"/>
          </w:tcPr>
          <w:p>
            <w:r>
              <w:t>保留技术可信度</w:t>
            </w:r>
          </w:p>
        </w:tc>
      </w:tr>
      <w:tr>
        <w:tc>
          <w:tcPr>
            <w:tcW w:type="dxa" w:w="3229"/>
          </w:tcPr>
          <w:p>
            <w:r>
              <w:t>60次实测17.9分钟</w:t>
            </w:r>
          </w:p>
        </w:tc>
        <w:tc>
          <w:tcPr>
            <w:tcW w:type="dxa" w:w="3229"/>
          </w:tcPr>
          <w:p>
            <w:r>
              <w:t>用本项目真实运行指标替代</w:t>
            </w:r>
          </w:p>
        </w:tc>
        <w:tc>
          <w:tcPr>
            <w:tcW w:type="dxa" w:w="3229"/>
          </w:tcPr>
          <w:p>
            <w:r>
              <w:t>不能移植QC实验样本</w:t>
            </w:r>
          </w:p>
        </w:tc>
      </w:tr>
      <w:tr>
        <w:tc>
          <w:tcPr>
            <w:tcW w:type="dxa" w:w="3229"/>
          </w:tcPr>
          <w:p>
            <w:r>
              <w:t>四份标准化文件和巩固期</w:t>
            </w:r>
          </w:p>
        </w:tc>
        <w:tc>
          <w:tcPr>
            <w:tcW w:type="dxa" w:w="3229"/>
          </w:tcPr>
          <w:p>
            <w:r>
              <w:t>四队、两项制度、基金与回写</w:t>
            </w:r>
          </w:p>
        </w:tc>
        <w:tc>
          <w:tcPr>
            <w:tcW w:type="dxa" w:w="3229"/>
          </w:tcPr>
          <w:p>
            <w:r>
              <w:t>体现持续运营</w:t>
            </w:r>
          </w:p>
        </w:tc>
      </w:tr>
      <w:tr>
        <w:tc>
          <w:tcPr>
            <w:tcW w:type="dxa" w:w="3229"/>
          </w:tcPr>
          <w:p>
            <w:r>
              <w:t>B作为李师傅提供现场经验</w:t>
            </w:r>
          </w:p>
        </w:tc>
        <w:tc>
          <w:tcPr>
            <w:tcW w:type="dxa" w:w="3229"/>
          </w:tcPr>
          <w:p>
            <w:r>
              <w:t>B提出评审疑问并从业务角度解释</w:t>
            </w:r>
          </w:p>
        </w:tc>
        <w:tc>
          <w:tcPr>
            <w:tcW w:type="dxa" w:w="3229"/>
          </w:tcPr>
          <w:p>
            <w:r>
              <w:t>身份不同，避免模仿他人</w:t>
            </w:r>
          </w:p>
        </w:tc>
      </w:tr>
    </w:tbl>
    <w:p>
      <w:pPr>
        <w:pStyle w:val="Heading2"/>
      </w:pPr>
      <w:r>
        <w:t>V6评委追问结构</w:t>
      </w:r>
    </w:p>
    <w:p>
      <w:r>
        <w:t>第一问：为什么需要数字管家？——对应烟农三愁和管理三缺。</w:t>
      </w:r>
    </w:p>
    <w:p>
      <w:r>
        <w:t>第二问：模型凭什么判断？——对应数据源、AHP健康分和Q/D/TOPSIS。</w:t>
      </w:r>
    </w:p>
    <w:p>
      <w:r>
        <w:t>第三问：应用效果怎样、谁来持续做？——对应48次调剂、18次报修、531份问卷、四队与基金。</w:t>
      </w:r>
    </w:p>
    <w:sectPr w:rsidR="00FC693F" w:rsidRPr="0006063C" w:rsidSect="00034616">
      <w:pgSz w:w="12240" w:h="15840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