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仿宋_GB2312" w:hAnsi="仿宋_GB2312" w:eastAsia="仿宋_GB2312" w:cs="仿宋_GB2312"/>
          <w:b w:val="0"/>
          <w:color w:val="505050"/>
          <w:sz w:val="28"/>
        </w:rPr>
        <w:t>智烤管家 · 湖北省创客大赛决赛发布稿（第2版）</w:t>
      </w:r>
    </w:p>
    <w:p>
      <w:pPr>
        <w:spacing w:after="360"/>
        <w:jc w:val="center"/>
      </w:pPr>
      <w:r>
        <w:t>V2_体检处方版_故事感最强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时长与角色： </w:t>
            </w:r>
            <w:r>
              <w:rPr>
                <w:rFonts w:ascii="仿宋_GB2312" w:hAnsi="仿宋_GB2312" w:eastAsia="仿宋_GB2312" w:cs="仿宋_GB2312"/>
                <w:sz w:val="22"/>
              </w:rPr>
              <w:t>目标口播约7分30秒–7分50秒；A约承担76%、B约承担24%。当前脚本汉字口播量约1391字，排练时以实际语速为准。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t>一、这一版为什么这样写</w:t>
      </w:r>
    </w:p>
    <w:p>
      <w:pPr>
        <w:spacing w:line="360" w:lineRule="auto" w:after="0"/>
        <w:ind w:firstLine="420"/>
      </w:pPr>
      <w:r>
        <w:rPr>
          <w:rFonts w:ascii="仿宋_GB2312" w:hAnsi="仿宋_GB2312" w:eastAsia="仿宋_GB2312" w:cs="仿宋_GB2312"/>
          <w:sz w:val="32"/>
        </w:rPr>
        <w:t>版本定位：医疗“体检—诊断—处方”隐喻。把复杂模型翻译成人人听懂的语言，舞台感强，记忆点集中在“烤房也要体检”和“维修可以续命，不能回春”。</w:t>
      </w:r>
    </w:p>
    <w:p>
      <w:pPr>
        <w:pStyle w:val="Heading1"/>
        <w:spacing w:before="200" w:after="100"/>
      </w:pPr>
      <w:r>
        <w:t>二、8分钟节奏建议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建议时间</w:t>
            </w:r>
          </w:p>
        </w:tc>
        <w:tc>
          <w:tcPr>
            <w:tcW w:type="dxa" w:w="235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内容</w:t>
            </w:r>
          </w:p>
        </w:tc>
        <w:tc>
          <w:tcPr>
            <w:tcW w:type="dxa" w:w="235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角色</w:t>
            </w:r>
          </w:p>
        </w:tc>
        <w:tc>
          <w:tcPr>
            <w:tcW w:type="dxa" w:w="235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舞台任务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0:00–0:50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开场矛盾/故事钩子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A+B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第一分钟必须让评委知道“为什么要做”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0:50–1:25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总体架构/双模型定位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两个模型是主角，三智是落地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1:25–3:10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健康评估模型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A主+B追问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讲清输入、机理、输出和“不能回春”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3:10–4:50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新建沙盘推演模型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A主+B追问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讲清有效烤能、组合赋权、情景推演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4:50–5:25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视频演示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视频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30–40秒，不重复口播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5:25–6:35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平台落地/真实案例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A+B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磨坪调剂、雷击抢修、建设论证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6:35–7:25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创新总结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双模耦合、先修后建、闭环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7:25–7:50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收束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A+B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留10秒机动，禁止拖到8分钟整</w:t>
            </w:r>
          </w:p>
        </w:tc>
      </w:tr>
    </w:tbl>
    <w:p>
      <w:pPr>
        <w:pStyle w:val="Heading1"/>
        <w:spacing w:before="200" w:after="100"/>
      </w:pPr>
      <w:r>
        <w:t>三、PPT逐页配合方案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页码</w:t>
            </w:r>
          </w:p>
        </w:tc>
        <w:tc>
          <w:tcPr>
            <w:tcW w:type="dxa" w:w="313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屏幕内容</w:t>
            </w:r>
          </w:p>
        </w:tc>
        <w:tc>
          <w:tcPr>
            <w:tcW w:type="dxa" w:w="313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这一页只完成的任务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P1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烤房也要做体检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隐喻钩子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P2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两张处方：存量健康/增量建设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总架构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P3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烤房体检报告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健康模型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P4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未来建设处方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沙盘模型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P5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门诊式视频流程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演示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P6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真实案例与数据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实效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P7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体检—处方—执行—复诊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闭环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P8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给烤房终身体检档案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收束</w:t>
            </w:r>
          </w:p>
        </w:tc>
      </w:tr>
    </w:tbl>
    <w:p>
      <w:pPr>
        <w:pStyle w:val="Heading1"/>
        <w:spacing w:before="200" w:after="100"/>
      </w:pPr>
      <w:r>
        <w:t>四、双人正式发布稿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版本定位： </w:t>
            </w:r>
            <w:r>
              <w:rPr>
                <w:rFonts w:ascii="仿宋_GB2312" w:hAnsi="仿宋_GB2312" w:eastAsia="仿宋_GB2312" w:cs="仿宋_GB2312"/>
                <w:sz w:val="22"/>
              </w:rPr>
              <w:t>医疗“体检—诊断—处方”隐喻。把复杂模型翻译成人人听懂的语言，舞台感强，记忆点集中在“烤房也要体检”和“维修可以续命，不能回春”。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P1 黑底白字：“如果烤房也做体检，它的体检报告该写什么？”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各位评委，如果烤房也做体检，它的报告上应该写什么？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我猜不只是“能用、不能用”。最好像人的体检报告一样：多少分、哪里有风险、还能稳定工作多久。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没错。过去管理烤房，我们更像“等生病再看医生”：坏了才报修，修不好再考虑新建。结果是小毛病拖成大故障，旧资源还没盘活，新投入已经上马。于是我们换了一个思路——先给全县烤房做体检，再给未来建设做沙盘。尊敬的各位领导、各位评委，大家好。我们汇报的是“智烤管家——基于健康评估的烤房用投管一体化解决方案”。整个项目最核心的，不是三个功能模块，而是两张“处方”：一张存量健康处方，一张增量建设处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P2 左侧“体检报告”，右侧“建设沙盘”，中间一条数据箭头。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第一张处方，来自烤房健康评估模型。我们从关键部件入手，把部件状态、指导寿命、维修历史、管护制度和现场评价变成可计算指标。专家经验通过</w:t>
      </w:r>
      <w:r>
        <w:rPr>
          <w:rFonts w:ascii="仿宋_GB2312" w:hAnsi="仿宋_GB2312" w:eastAsia="仿宋_GB2312" w:cs="仿宋_GB2312"/>
          <w:b/>
          <w:sz w:val="32"/>
        </w:rPr>
        <w:t>AHP</w:t>
      </w:r>
      <w:r>
        <w:rPr>
          <w:rFonts w:ascii="仿宋_GB2312" w:hAnsi="仿宋_GB2312" w:eastAsia="仿宋_GB2312" w:cs="仿宋_GB2312"/>
          <w:b w:val="0"/>
          <w:sz w:val="32"/>
        </w:rPr>
        <w:t>量化，数据差异通过</w:t>
      </w:r>
      <w:r>
        <w:rPr>
          <w:rFonts w:ascii="仿宋_GB2312" w:hAnsi="仿宋_GB2312" w:eastAsia="仿宋_GB2312" w:cs="仿宋_GB2312"/>
          <w:b/>
          <w:sz w:val="32"/>
        </w:rPr>
        <w:t>熵权法</w:t>
      </w:r>
      <w:r>
        <w:rPr>
          <w:rFonts w:ascii="仿宋_GB2312" w:hAnsi="仿宋_GB2312" w:eastAsia="仿宋_GB2312" w:cs="仿宋_GB2312"/>
          <w:b w:val="0"/>
          <w:sz w:val="32"/>
        </w:rPr>
        <w:t>校验，让权重既懂业务、也听数据。然后我们把结构件和功能件分开看：结构件决定这栋房的生命上限，功能件决定它当前的运行质量。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听起来像心脏、骨骼、血压分开检查。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非常像。尤其是“骨骼”——屋顶、墙体、大门、梁柱等结构件，我们设置了硬约束。因为一栋用了十几年的老房，即使换了新自控仪，也不能当新房算。维修能让设备恢复，却不能把房龄清零。我们再叠加维修次数折损、健康分校准，输出健康等级、剩余寿命和高风险部件。这样，管理人员看到的不再是一个冷冰冰的58分，而是一张真正能开维修工单的“体检报告”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那这张体检报告就不是为了好看。比如健康分低，但结构件仍有余量，可以优先修功能件；如果结构短板已经逼近寿命上限，再反复换小部件，投入产出就要重新评估。这样“修不修、修什么”才从经验判断变成有证据的处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P3 “体检报告”动画：健康分→剩余寿命→风险部件→维修动作。突出“维修可以续命，不能回春”。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有了体检报告，我们先修该修的。项目依托健康评分筛出210栋60分以下待修烤房，2026年精准完成150栋设备靶向修复。可问题来了——全部盘活以后，如果一个村还是缺烤能怎么办？这就需要第二张处方：新建沙盘推演模型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这张处方最怕开错。毕竟维修花的是一笔钱，新建往往是一笔更长期的投入。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所以我们不直接问“这里有多少栋”，而是先问“这里真正有多少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”。健康分、容量、在用或闲置状态一起折算，得到现有供给；再与烟叶需求、承载压力、规模趋势进行匹配。</w:t>
      </w:r>
      <w:r>
        <w:rPr>
          <w:rFonts w:ascii="仿宋_GB2312" w:hAnsi="仿宋_GB2312" w:eastAsia="仿宋_GB2312" w:cs="仿宋_GB2312"/>
          <w:b/>
          <w:sz w:val="32"/>
        </w:rPr>
        <w:t>区位熵</w:t>
      </w:r>
      <w:r>
        <w:rPr>
          <w:rFonts w:ascii="仿宋_GB2312" w:hAnsi="仿宋_GB2312" w:eastAsia="仿宋_GB2312" w:cs="仿宋_GB2312"/>
          <w:b w:val="0"/>
          <w:sz w:val="32"/>
        </w:rPr>
        <w:t>帮助我们判断这个村是相对真缺还是只是局部忙；</w:t>
      </w:r>
      <w:r>
        <w:rPr>
          <w:rFonts w:ascii="仿宋_GB2312" w:hAnsi="仿宋_GB2312" w:eastAsia="仿宋_GB2312" w:cs="仿宋_GB2312"/>
          <w:b/>
          <w:sz w:val="32"/>
        </w:rPr>
        <w:t>AHP</w:t>
      </w:r>
      <w:r>
        <w:rPr>
          <w:rFonts w:ascii="仿宋_GB2312" w:hAnsi="仿宋_GB2312" w:eastAsia="仿宋_GB2312" w:cs="仿宋_GB2312"/>
          <w:b w:val="0"/>
          <w:sz w:val="32"/>
        </w:rPr>
        <w:t>与熵权组合确定多项因素权重；</w:t>
      </w:r>
      <w:r>
        <w:rPr>
          <w:rFonts w:ascii="仿宋_GB2312" w:hAnsi="仿宋_GB2312" w:eastAsia="仿宋_GB2312" w:cs="仿宋_GB2312"/>
          <w:b/>
          <w:sz w:val="32"/>
        </w:rPr>
        <w:t>TOPSIS</w:t>
      </w:r>
      <w:r>
        <w:rPr>
          <w:rFonts w:ascii="仿宋_GB2312" w:hAnsi="仿宋_GB2312" w:eastAsia="仿宋_GB2312" w:cs="仿宋_GB2312"/>
          <w:b w:val="0"/>
          <w:sz w:val="32"/>
        </w:rPr>
        <w:t>让候选村、候选点同时向“理想方案”靠近。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那“沙盘”两个字体现在哪里？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就在“未来可以先演一遍”。屏幕上切换烟叶规模</w:t>
      </w:r>
      <w:r>
        <w:rPr>
          <w:rFonts w:ascii="仿宋_GB2312" w:hAnsi="仿宋_GB2312" w:eastAsia="仿宋_GB2312" w:cs="仿宋_GB2312"/>
          <w:b/>
          <w:sz w:val="32"/>
        </w:rPr>
        <w:t>增长2%、5%、10%</w:t>
      </w:r>
      <w:r>
        <w:rPr>
          <w:rFonts w:ascii="仿宋_GB2312" w:hAnsi="仿宋_GB2312" w:eastAsia="仿宋_GB2312" w:cs="仿宋_GB2312"/>
          <w:b w:val="0"/>
          <w:sz w:val="32"/>
        </w:rPr>
        <w:t>，村级负载、缺口和优先级马上重算；再模拟新增几栋，看负载能不能真正降下来。换句话说，我们不是看着今天建，而是带着明天算。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而且这张“建设处方”会随条件变化。烟叶规模变了、旧烤房修好了、某些闲置房重新启用了，沙盘都会重新计算。它不是一次性盖章，而是一张会随资源状态更新的动态处方。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P4 沙盘演练：当前→+2%→+5%→+10%；每切一次，负载气泡和推荐榜同步变化。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这套方法已经用于2026年建设方案论证，争取县政府新建烤房29栋，其中肖家坪村7栋。它和健康模型之间还有一个关键关系：第一张“体检报告”会影响第二张“建设处方”。老化、待修、闲置烤房折算出来的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更低；修好以后，供给能力重新计算。于是“修还是建”第一次放到了同一套数字逻辑里。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【视频】 </w:t>
            </w:r>
            <w:r>
              <w:rPr>
                <w:rFonts w:ascii="仿宋_GB2312" w:hAnsi="仿宋_GB2312" w:eastAsia="仿宋_GB2312" w:cs="仿宋_GB2312"/>
                <w:sz w:val="22"/>
              </w:rPr>
              <w:t>视频建议40秒做成“门诊流程”：扫码/点击一栋烤房→生成体检报告→风险部件高亮→一键报修→回到村级地图→切换5%增长→新增方案→合作社接单闭环。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模型像医生，平台就是把处方真正执行下去的护士站。烟农能调剂、能报修；合作社能接单、抢修、养护；管理人员能看到资金投向和闭环结果。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对。2026年磨坪烘烤工厂50栋烤房，截至9月5日累计烘烤115炕次、1380担，通过调剂增加约185担。8月遭遇雷击故障时，平台完成风险提醒、故障排查、推荐就近2个配件仓库并分配维修人员，全程不到3小时，比传统模式平均缩短约2小时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各位评委，智烤管家并不是把“体检、维修、新建、管护”分别做成四个页面，而是形成了一条完整链路：先体检存量，能修则修；再推演增量，真缺才建；建完以后继续体检、继续管护。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让烤房从“坏了才知道”，变成“风险提前知道”；让建设从“觉得要建”，变成“推演后再建”。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这就是我们的创新：给烤房一张终身体检档案，给投入一张可验证的决策处方。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聚数成方，一脉致远，让烤房发挥最大价值。谢谢大家！</w:t>
      </w:r>
    </w:p>
    <w:p>
      <w:pPr>
        <w:pStyle w:val="Heading1"/>
        <w:spacing w:before="200" w:after="100"/>
      </w:pPr>
      <w:r>
        <w:t>五、排练重点</w:t>
      </w:r>
    </w:p>
    <w:p>
      <w:pPr>
        <w:ind w:left="397" w:hanging="198"/>
      </w:pPr>
      <w:r>
        <w:rPr>
          <w:rFonts w:ascii="仿宋_GB2312" w:hAnsi="仿宋_GB2312" w:eastAsia="仿宋_GB2312" w:cs="仿宋_GB2312"/>
          <w:b/>
          <w:sz w:val="28"/>
        </w:rPr>
        <w:t xml:space="preserve">• </w:t>
      </w:r>
      <w:r>
        <w:rPr>
          <w:rFonts w:ascii="仿宋_GB2312" w:hAnsi="仿宋_GB2312" w:eastAsia="仿宋_GB2312" w:cs="仿宋_GB2312"/>
          <w:sz w:val="28"/>
        </w:rPr>
        <w:t>A不要用“论文答辩”的语速读算法名。每讲一个技术名词，必须紧跟一句“它解决什么问题”。</w:t>
      </w:r>
    </w:p>
    <w:p>
      <w:pPr>
        <w:ind w:left="397" w:hanging="198"/>
      </w:pPr>
      <w:r>
        <w:rPr>
          <w:rFonts w:ascii="仿宋_GB2312" w:hAnsi="仿宋_GB2312" w:eastAsia="仿宋_GB2312" w:cs="仿宋_GB2312"/>
          <w:b/>
          <w:sz w:val="28"/>
        </w:rPr>
        <w:t xml:space="preserve">• </w:t>
      </w:r>
      <w:r>
        <w:rPr>
          <w:rFonts w:ascii="仿宋_GB2312" w:hAnsi="仿宋_GB2312" w:eastAsia="仿宋_GB2312" w:cs="仿宋_GB2312"/>
          <w:sz w:val="28"/>
        </w:rPr>
        <w:t>B只负责提问、转场、案例落地和关键句复述，不要连续讲大段技术，才能保持A约70%的主讲结构。</w:t>
      </w:r>
    </w:p>
    <w:p>
      <w:pPr>
        <w:ind w:left="397" w:hanging="198"/>
      </w:pPr>
      <w:r>
        <w:rPr>
          <w:rFonts w:ascii="仿宋_GB2312" w:hAnsi="仿宋_GB2312" w:eastAsia="仿宋_GB2312" w:cs="仿宋_GB2312"/>
          <w:b/>
          <w:sz w:val="28"/>
        </w:rPr>
        <w:t xml:space="preserve">• </w:t>
      </w:r>
      <w:r>
        <w:rPr>
          <w:rFonts w:ascii="仿宋_GB2312" w:hAnsi="仿宋_GB2312" w:eastAsia="仿宋_GB2312" w:cs="仿宋_GB2312"/>
          <w:sz w:val="28"/>
        </w:rPr>
        <w:t>“AHP+熵权、区位熵、TOPSIS”建议只出现一次；评委若追问，再在答辩环节展开公式和参数。</w:t>
      </w:r>
    </w:p>
    <w:p>
      <w:pPr>
        <w:ind w:left="397" w:hanging="198"/>
      </w:pPr>
      <w:r>
        <w:rPr>
          <w:rFonts w:ascii="仿宋_GB2312" w:hAnsi="仿宋_GB2312" w:eastAsia="仿宋_GB2312" w:cs="仿宋_GB2312"/>
          <w:b/>
          <w:sz w:val="28"/>
        </w:rPr>
        <w:t xml:space="preserve">• </w:t>
      </w:r>
      <w:r>
        <w:rPr>
          <w:rFonts w:ascii="仿宋_GB2312" w:hAnsi="仿宋_GB2312" w:eastAsia="仿宋_GB2312" w:cs="仿宋_GB2312"/>
          <w:sz w:val="28"/>
        </w:rPr>
        <w:t>主讲稿中最需要重音的不是算法名，而是：维修可以续命但不能回春；有效烤能；先盘活、再修复、仍有缺口才新建；两个模型前后耦合。</w:t>
      </w:r>
    </w:p>
    <w:p>
      <w:pPr>
        <w:ind w:left="397" w:hanging="198"/>
      </w:pPr>
      <w:r>
        <w:rPr>
          <w:rFonts w:ascii="仿宋_GB2312" w:hAnsi="仿宋_GB2312" w:eastAsia="仿宋_GB2312" w:cs="仿宋_GB2312"/>
          <w:b/>
          <w:sz w:val="28"/>
        </w:rPr>
        <w:t xml:space="preserve">• </w:t>
      </w:r>
      <w:r>
        <w:rPr>
          <w:rFonts w:ascii="仿宋_GB2312" w:hAnsi="仿宋_GB2312" w:eastAsia="仿宋_GB2312" w:cs="仿宋_GB2312"/>
          <w:sz w:val="28"/>
        </w:rPr>
        <w:t>视频必须展示“模型结果如何改变业务动作”，不要只录页面切换。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_GB2312" w:hAnsi="仿宋_GB2312" w:eastAsia="仿宋_GB2312" w:cs="仿宋_GB2312"/>
        <w:b w:val="0"/>
        <w:color w:val="646464"/>
        <w:sz w:val="18"/>
      </w:rPr>
      <w:t>湖北省创客大赛决赛 · 智烤管家发布材料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方正小标宋简体" w:hAnsi="方正小标宋简体" w:eastAsia="方正小标宋简体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