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ascii="黑体" w:hAnsi="黑体" w:eastAsia="黑体"/>
          <w:b/>
          <w:sz w:val="30"/>
        </w:rPr>
        <w:t>智烤管家｜优秀稿逐篇学习与借鉴</w:t>
      </w:r>
    </w:p>
    <w:p>
      <w:pPr>
        <w:spacing w:after="280"/>
        <w:jc w:val="center"/>
      </w:pPr>
      <w:r>
        <w:rPr>
          <w:rFonts w:ascii="仿宋_GB2312" w:hAnsi="仿宋_GB2312" w:eastAsia="仿宋_GB2312"/>
          <w:b w:val="0"/>
          <w:sz w:val="20"/>
        </w:rPr>
        <w:t>12份解说词｜基于仓库原始文本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来源和方法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本报告逐篇核对项目仓库“读取资料/1学习优秀的”目录下12份TXT文字解说词（1、2、3、4、5、6、7、15、19、30、9月9日我的、yus07）。文本为解说词资料，不等同于可独立核验的获奖名次；不根据文件名推断一等奖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1.txt｜十堰“乘数前行”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先报排名差距，再用“洞察—诊断—施策”解释算法如何带来管理动作；技术名词与可量化成果一一对应。借鉴：我们的健康评估必须直连维修清单。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2.txt｜武汉网络涉烟数据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采用七步工作法，贯穿采集、分析、追踪、落地和反哺；业务案例推动讲述。借鉴：智管用工单闭环证明“数据回库”不是口号。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3.txt｜荆州卷烟供需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从供需错配切入，技术路线分步骤，设置一款具体品规作例证，突出效率和精度。借鉴：我们的“新建沙盘”用一组位置、栋数对比讲清决策。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4.txt｜黄冈大户监管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“识别—分析—打击”三难对应数据治理、模型和业务处置，结果强调周期缩短与辨识准确。借鉴：三个痛点必须和三智逐一回扣。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5.txt｜宜昌数智先锋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直接用“采数—析数—用数”作为公开汇报路径，现场拍一拍、查一查，工具展示直观。借鉴：123作为编号，采析用数作为因果线，两者不重复喊口号。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6.txt｜武汉智慧食堂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把技术应用放入员工实际场景，成本、便利、健康三个结果可感知。借鉴：讲烟农如何一键找房，先讲旧痛点再演示动作。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7.txt｜武汉滞销品规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先展示看似矛盾的真实现象，再转为寻找机会市场的调查线；讲述具有悬念。借鉴：开头“一边空房、一边排队”的反差。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15.txt｜宜昌烟叶收购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烟叶业务简化为“量”和“质”两件事，用案例和数字证明功能，避免空喊“赋能”。借鉴：专业术语留在模型，非专业评委听到的应是“先修谁、建哪里”。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19.txt｜宜昌财务风控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从不同岗位的焦虑切入，再用平台具体工作流证明效率变化。借鉴：把合作社“人、钱、机制”融入智管，少讲抽象制度。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30.txt｜雪茄圈层营销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开头三问形成悬念，中间对三问逐项作答，结尾回收。借鉴：开场“三个为什么”，结束以“调、修、投”三答回应。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9月9日我的.txt｜项目早期素材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包含现场调剂、抢修和健康评分原始思路，但部分数字和口径与后来版本不同。借鉴价值在场景和公式解释，所有数据以本轮核定的10.20版本为准。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yus07.txt｜雪茄数智应用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“消费—零售—商业”三端应用把数据闭环讲得有层次，具体功能一目了然。借鉴：三智围绕烟农、管理部门、合作社讲，而非在同一处堆功能。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8条写作原则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①视频之后不要再复述视频；②三个问题先抛后解；③一句话解释烤房是什么；④一个模型只说输入、方法、结果；⑤三智按真实角色和动作展开；⑥数据只选可核验的几项；⑦数字的“计划、完成、辅助”口径要分开；⑧结尾用三答呼应三问，不堆三组口号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竞争优势的表达边界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竞赛材料严禁编造数据与故事。不要自封全省首创、不要把辅助排名说成自动审批、不要以模拟假设冒充运行成果。评委最可能被“真实场景＋严谨计算＋有效闭环＋可推广机制”的组合打动。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