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/>
        <w:jc w:val="center"/>
      </w:pPr>
      <w:r>
        <w:rPr>
          <w:rFonts w:ascii="黑体" w:hAnsi="黑体" w:eastAsia="黑体"/>
          <w:b/>
          <w:sz w:val="30"/>
        </w:rPr>
        <w:t>智烤管家｜从10.20底稿重新改写的对照说明</w:t>
      </w:r>
    </w:p>
    <w:p>
      <w:pPr>
        <w:spacing w:after="280"/>
        <w:jc w:val="center"/>
      </w:pPr>
      <w:r>
        <w:rPr>
          <w:rFonts w:ascii="仿宋_GB2312" w:hAnsi="仿宋_GB2312" w:eastAsia="仿宋_GB2312"/>
          <w:b w:val="0"/>
          <w:sz w:val="20"/>
        </w:rPr>
        <w:t>非原文逐字照录；依据对应段落概括旧稿问题与新稿处理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开场与三难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原文：10.20底稿：A/B角色轮流铺开烟农“三大愁”，专家难以快速分清资源、设备、投资三个管理主体。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修改后：新稿：先三问后场景，明确烟农调剂、合作社抢修、烟草公司资金安排，场景与问题一一对应。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解决方案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原文：10.20底稿：将1234并列呈现，模型与业务框架之间缺乏真正的因果过渡。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修改后：新稿：用“采数—析数—用数”贯穿123；结尾业务数据回流，形成持续迭代的工作方式。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一库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原文：原稿：台账电子化、GPS采集和18部位检查分别介绍，基层减负与持续更新价值弱。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修改后：新稿：旧台账导入—唯一码自动关联—现场核对拍照—维修评价回写，突出减少重复填报。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两个模型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原文：原稿：算法名词和决策逻辑分别多次重复。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修改后：新稿：健康模型只讲取数、计算、输出，发展模型只讲数、需、评、推，保留AHP/威布尔/QD/熵权/TOPSIS但删冗余。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智用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原文：原稿：找房、报修、评价容易堆在一段介绍。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修改后：新稿：用烟农一天的行动“急用房—手机找房—坏了报修—烤后评价”串起来。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智投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原文：原稿：模型结果、项目数字、投资价值并列罗列。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修改后：新稿：直接呈现旧房配件选择、新房沙盘比较，让评委明白具体如何花钱。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智管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原文：原稿：闭环、四队、制度与基金被拆成多个独立段落。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修改后：新稿：以一张工单串起派单、抢修、验收、回库，四队和基金作为线下支撑。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成效与结尾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原文：原稿：成果数字在智用、智投、智管和结尾重复，结尾口号过多。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修改后：新稿：核心数字集中一次讲明，最后三问三答和“现场—决策—现场—数据”的闭环价值。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