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0929 V1 → 本轮正式参赛版逐段修改对照</w:t>
      </w:r>
    </w:p>
    <w:p>
      <w:pPr>
        <w:spacing w:after="320"/>
        <w:jc w:val="center"/>
      </w:pPr>
      <w:r>
        <w:rPr>
          <w:rFonts w:ascii="仿宋_GB2312" w:hAnsi="仿宋_GB2312" w:eastAsia="仿宋_GB2312" w:cs="仿宋_GB2312"/>
          <w:b w:val="0"/>
          <w:color w:val="5A5A5A"/>
          <w:sz w:val="28"/>
        </w:rPr>
        <w:t>原稿问题 · 新稿改法 · 修改理由 · 09300004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2CC"/>
          </w:tcPr>
          <w:p>
            <w:pPr>
              <w:spacing w:after="0"/>
              <w:ind w:left="85" w:right="85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对照原则： </w:t>
            </w:r>
            <w:r>
              <w:rPr>
                <w:rFonts w:ascii="楷体_GB2312" w:hAnsi="楷体_GB2312" w:eastAsia="楷体_GB2312" w:cs="楷体_GB2312"/>
                <w:sz w:val="22"/>
              </w:rPr>
              <w:t>本文件不是简单“改几个词”，而是逐段检查每句话有没有完成比赛稿应有的功能：身份、问题、根因、框架、技术过程、案例、结果、创新、收束。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一、九个核心段落修改对照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6"/>
              </w:rPr>
              <w:t>段落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6"/>
              </w:rPr>
              <w:t>0929 V1原写法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6"/>
              </w:rPr>
              <w:t>本版改写方向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 w:line="264" w:lineRule="auto"/>
            </w:pPr>
            <w:r/>
            <w:r>
              <w:rPr>
                <w:rFonts w:ascii="黑体" w:hAnsi="黑体" w:eastAsia="黑体" w:cs="黑体"/>
                <w:b/>
                <w:sz w:val="16"/>
              </w:rPr>
              <w:t>为什么这么改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开场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B：A，我先替评委出一道题：同一个村，一栋烤房健康分58分，另一栋82分……我们到底应该先修、先调，还是新建？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A先介绍身份；B定位为“烤房管家”，用“没房、坏了、修还是建”三问开场。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优秀稿1/2/6都先让评委知道人物和场景，再进入技术；新版不再用抽象分数题做第一句话。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问题剖析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A：这道题，过去没有统一答案……很难同时回答三件事。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先讲烟农、烟站、合作社“三愁”，再归纳资源调度、设施投入、管护运维三大痛点，最后落到“用投管割裂”的根因。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把“表面问题—主体困境—深层根因”讲完整，和1.txt“三痛点”、3.txt“三问题”同样清楚。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总体框架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给烤房管理装上两颗决策大脑……通过一个平台落地到智用、智投、智管。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形成“1234”：一库清底、双模决策、三智协同、四队长效。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优秀稿都需要可复述框架；1234全部来自项目真实构成，不是包装出来的空口号。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健康模型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把一栋烤房拆到关键部件，综合部件状态、剩余寿命、维修记录……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明确4部位12关键部件；部件按状态/寿命占比/现场评价三维量化；80/10/10合成；AHP做一致性校验。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让评委听到“怎么算”，但不陷入公式细节。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寿命模型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结构件决定“还能不能撑”，功能件决定“还能不能好好用”……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结构件最短寿命做硬上限，功能件加权寿命，叠加维修折损、健康校准、房龄收缩，并用威布尔描述寿命规律。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9/10官方成果报告明确了“部件分层约束+维修复衰+健康校准+年限收缩+威布尔”。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新建模型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区位熵横向对标……AHP和熵权组合定权，TOPSIS排序……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区位熵移出主稿；主稿按官方口径讲有效烤能/承载/发展因子50/30/20，AHP+熵权校验，TOPSIS候选点排序，沙盘2/5/10%情景。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减少不必要算法堆叠，突出真正落在官方报告和系统里的技术。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双模耦合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健康模型的结果不会停在这一页……进入第二颗大脑。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保留并前置为核心差异：“健康结果→有效烤能→发展指数→新建沙盘”，形成先调剂、再修复、仍缺才新建。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这是项目最有辨识度的技术/管理创新，必须比“三智”更突出。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落地成效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磨坪50栋……雷击故障……不到3小时。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保留雷击案例；新增官方一季验证：2442入库、48次调剂、16单平均响应0.38h、满意度96.8%、统筹管护81%、基金近190万。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像1.txt“四重突破”、3.txt“四个效果”一样，用一组硬结果证明不是概念项目。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结尾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好房充分用，旧房精准修，缺口科学建，建后持续管。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先回扣1234，再用“三个不是”做差异化创新总结，最后保留“好房用、旧房修、缺口建、建后管”。</w:t>
            </w:r>
          </w:p>
        </w:tc>
        <w:tc>
          <w:tcPr>
            <w:tcW w:type="dxa" w:w="235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仿宋_GB2312" w:hAnsi="仿宋_GB2312" w:eastAsia="仿宋_GB2312" w:cs="仿宋_GB2312"/>
                <w:b w:val="0"/>
                <w:sz w:val="16"/>
              </w:rPr>
              <w:t>先总结创新，再情绪收束，避免只剩口号。</w:t>
            </w:r>
          </w:p>
        </w:tc>
      </w:tr>
    </w:tbl>
    <w:p>
      <w:pPr>
        <w:pStyle w:val="Heading1"/>
        <w:spacing w:before="180" w:after="80"/>
      </w:pPr>
      <w:r>
        <w:t>二、原V1最值得保留的内容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“维修可以续命，但不能回春”——保留并提升为健康模型技术口诀。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“健康模型结果进入有效烤能”——保留并提升为双模耦合的核心创新。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“先盘活、再修复、仍有缺口才新建”——保留为投资决策顺序。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磨坪雷击案例——保留，作为真实现场感证据。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“好房充分用、旧房精准修、缺口科学建、建后持续管”——保留为情绪收束，但不再承担全部创新总结。</w:t>
      </w:r>
    </w:p>
    <w:p>
      <w:pPr>
        <w:pStyle w:val="Heading1"/>
        <w:spacing w:before="180" w:after="80"/>
      </w:pPr>
      <w:r>
        <w:t>三、本轮新增且必须保留的内容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A/B身份与B的“烤房管家”角色。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三类主体“三愁”及三大官方痛点，让“为什么做”在1分钟内说透。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1234整体记忆框架，让评委能复述项目。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健康模型“输入—评分—寿命—输出—维修动作”的完整计算链。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发展导引模型50/30/20构成、AHP+熵权校验、TOPSIS选点和情景沙盘。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最新官方验证数据：2442、48次调剂、0.38小时、96.8%、81%、近190万元。</w:t>
      </w:r>
    </w:p>
    <w:p>
      <w:pPr>
        <w:spacing w:line="348" w:lineRule="auto" w:after="0"/>
        <w:ind w:firstLine="420"/>
      </w:pPr>
      <w:r>
        <w:rPr>
          <w:rFonts w:ascii="仿宋_GB2312" w:hAnsi="仿宋_GB2312" w:eastAsia="仿宋_GB2312" w:cs="仿宋_GB2312"/>
          <w:sz w:val="26"/>
        </w:rPr>
        <w:t>三个“不是”，直接回答“你和普通烤房管理系统有什么不同”。</w:t>
      </w:r>
    </w:p>
    <w:p>
      <w:pPr>
        <w:pStyle w:val="Heading1"/>
        <w:spacing w:before="180" w:after="80"/>
      </w:pPr>
      <w:r>
        <w:t>四、最终建议</w:t>
      </w:r>
    </w:p>
    <w:p>
      <w:pPr>
        <w:spacing w:line="348" w:lineRule="auto" w:after="0"/>
      </w:pPr>
      <w:r>
        <w:rPr>
          <w:rFonts w:ascii="仿宋_GB2312" w:hAnsi="仿宋_GB2312" w:eastAsia="仿宋_GB2312" w:cs="仿宋_GB2312"/>
          <w:b w:val="0"/>
          <w:sz w:val="26"/>
        </w:rPr>
        <w:t>• 后续</w:t>
      </w:r>
      <w:r>
        <w:rPr>
          <w:rFonts w:ascii="仿宋_GB2312" w:hAnsi="仿宋_GB2312" w:eastAsia="仿宋_GB2312" w:cs="仿宋_GB2312"/>
          <w:b/>
          <w:sz w:val="26"/>
        </w:rPr>
        <w:t>不建议继续往8分钟主稿里增加更多算法名</w:t>
      </w:r>
      <w:r>
        <w:rPr>
          <w:rFonts w:ascii="仿宋_GB2312" w:hAnsi="仿宋_GB2312" w:eastAsia="仿宋_GB2312" w:cs="仿宋_GB2312"/>
          <w:b w:val="0"/>
          <w:sz w:val="26"/>
        </w:rPr>
        <w:t>。</w:t>
      </w:r>
    </w:p>
    <w:p>
      <w:pPr>
        <w:spacing w:line="348" w:lineRule="auto" w:after="0"/>
      </w:pPr>
      <w:r>
        <w:rPr>
          <w:rFonts w:ascii="仿宋_GB2312" w:hAnsi="仿宋_GB2312" w:eastAsia="仿宋_GB2312" w:cs="仿宋_GB2312"/>
          <w:sz w:val="26"/>
        </w:rPr>
        <w:t>• 把PPT按8页重做，两个模型各做一张“一眼看懂”的动态图。</w:t>
      </w:r>
    </w:p>
    <w:p>
      <w:pPr>
        <w:spacing w:line="348" w:lineRule="auto" w:after="0"/>
      </w:pPr>
      <w:r>
        <w:rPr>
          <w:rFonts w:ascii="仿宋_GB2312" w:hAnsi="仿宋_GB2312" w:eastAsia="仿宋_GB2312" w:cs="仿宋_GB2312"/>
          <w:b w:val="0"/>
          <w:sz w:val="26"/>
        </w:rPr>
        <w:t>• 按真实语速实测，控制在</w:t>
      </w:r>
      <w:r>
        <w:rPr>
          <w:rFonts w:ascii="仿宋_GB2312" w:hAnsi="仿宋_GB2312" w:eastAsia="仿宋_GB2312" w:cs="仿宋_GB2312"/>
          <w:b/>
          <w:sz w:val="26"/>
        </w:rPr>
        <w:t>7分40秒左右</w:t>
      </w:r>
      <w:r>
        <w:rPr>
          <w:rFonts w:ascii="仿宋_GB2312" w:hAnsi="仿宋_GB2312" w:eastAsia="仿宋_GB2312" w:cs="仿宋_GB2312"/>
          <w:b w:val="0"/>
          <w:sz w:val="26"/>
        </w:rPr>
        <w:t>，留10—20秒机动。</w:t>
      </w:r>
    </w:p>
    <w:p>
      <w:pPr>
        <w:spacing w:line="348" w:lineRule="auto" w:after="0"/>
      </w:pPr>
      <w:r>
        <w:rPr>
          <w:rFonts w:ascii="仿宋_GB2312" w:hAnsi="仿宋_GB2312" w:eastAsia="仿宋_GB2312" w:cs="仿宋_GB2312"/>
          <w:sz w:val="26"/>
        </w:rPr>
        <w:t>• 准备20个评委追问，重点围绕权重来源、威布尔样本、沙盘验证、数据真实性和推广成本。</w:t>
      </w:r>
    </w:p>
    <w:sectPr w:rsidR="00FC693F" w:rsidRPr="0006063C" w:rsidSect="00034616">
      <w:footerReference w:type="default" r:id="rId9"/>
      <w:pgSz w:w="12240" w:h="15840"/>
      <w:pgMar w:top="1247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787878"/>
        <w:sz w:val="18"/>
      </w:rPr>
      <w:t>智烤管家 · 湖北省创客大赛决赛发布材料 · 09300004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