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70" w:line="350" w:lineRule="exact"/>
      </w:pPr>
      <w:r>
        <w:rPr>
          <w:rFonts w:ascii="黑体" w:hAnsi="黑体" w:eastAsia="黑体"/>
          <w:b/>
          <w:sz w:val="28"/>
          <w:szCs w:val="28"/>
        </w:rPr>
        <w:t xml:space="preserve">智烤管家｜两个模型与关键衔接修改对照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根据10.20修改底稿、9.30旧稿、思路和思维导图以及董、陈、轴修改意见整理；重点说明两个模型怎样算、怎样连接、怎样进入三智。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1. 一库到两模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新版写法：家底清了，不能只知道“有什么”，还要回答“先修谁、建哪里”；因而先算存量，再研判增量。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修改理由：回答陈意见：明确数据库与模型的因果关系。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2. 第一模取数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新版写法：从“一房一档”读取档案、部件、评价及维修记录，不再人工重复输入。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修改理由：回应“已经在数据库里，还需要输入吗”。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3. 第一模计算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新版写法：AHP与烟叶专家经验形成权重；设备损坏、使用年限、管护情况形成健康分，威布尔分布估算剩余寿命。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修改理由：算法与业务因素对应，避免堆砌术语。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4. 第一模输出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新版写法：风险烤房清单、每房风险部位TOP3和维修优先报告；60分以下先预警，再现场复核。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修改理由：说清修哪栋、哪个部位，避免模型自动判定报废。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5. 两模衔接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新版写法：旧房名义数量不等于真实烤能；新建需求须先考虑调剂和修复。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修改理由：模型一的有效烤能作为模型二供需测算的输入。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6. 第二模数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新版写法：不仅汇集设施和种植，还纳入产业趋势、管护能力、政策条件和候选点。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修改理由：回应村级发展指数有真实业务内涵。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7. 第二模需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新版写法：健康状态折算有效烤能Q，与理论需求D比较。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修改理由：让评委听懂缺不缺、缺多少。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8. 第二模评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新版写法：AHP和熵权法组合赋权、TOPSIS排序的是候选点，不是管理者最终决策。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修改理由：区分辅助计算和现场审批。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9. 第二模推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新版写法：在地图沙盘模拟不同村庄的新增栋数和位置，比较供需与发展效果。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修改理由：这个村加两栋、那个村加三栋属于演示假设。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10. 两模到三智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新版写法：模型报告不能停在屏幕上，要转化为烟农服务、资金安排和合作社管护。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1"/>
          <w:szCs w:val="21"/>
        </w:rPr>
        <w:t xml:space="preserve">修改理由：恢复采数—析数—用数—回库完整闭环。</w:t>
      </w:r>
    </w:p>
    <w:p>
      <w:pPr>
        <w:jc w:val="both"/>
        <w:spacing w:before="0" w:after="0" w:line="540" w:lineRule="exact"/>
      </w:pPr>
      <w:r>
        <w:rPr>
          <w:rFonts w:ascii="仿宋_GB2312" w:hAnsi="仿宋_GB2312" w:eastAsia="仿宋_GB2312"/>
          <w:sz w:val="28"/>
          <w:szCs w:val="28"/>
        </w:rPr>
        <w:t xml:space="preserve">口径提醒：模型提供辅助判断，不替代现场踏勘及审批；沙盘举例为假设，不代表审批结果。现有成果数字正式汇报前需与业务台账核验。</w:t>
      </w:r>
    </w:p>
    <w:sectPr>
      <w:pgSz w:w="12240" w:h="15840"/>
      <w:pgMar w:top="1440" w:bottom="1440" w:left="1440" w:righ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/>
        <w:sz w:val="28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