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智烤管家V2 答辩证据口径与彩排检查</w:t>
      </w:r>
    </w:p>
    <w:p>
      <w:pPr>
        <w:jc w:val="center"/>
      </w:pPr>
      <w:r>
        <w:t>总时长8分钟以内；参数和案例仅以源材料支持为准</w:t>
      </w:r>
      <w:r>
        <w:t>资料审查日期：2026年10月19日  ·  版本V2</w:t>
      </w:r>
    </w:p>
    <w:p>
      <w:pPr/>
      <w:r>
        <w:t>2442座｜秭归全口径建档并开展健康评分，不等于全在用</w:t>
      </w:r>
    </w:p>
    <w:p>
      <w:pPr/>
      <w:r>
        <w:t>1672栋｜2026年度在用烤房口径，1363/1672≈81%</w:t>
      </w:r>
    </w:p>
    <w:p>
      <w:pPr/>
      <w:r>
        <w:t>1363栋｜两级合作社统筹管护；县级1175栋＋村级188栋</w:t>
      </w:r>
    </w:p>
    <w:p>
      <w:pPr/>
      <w:r>
        <w:t>近190万元｜合作社管护基金总额，不等同于年度结余</w:t>
      </w:r>
    </w:p>
    <w:p>
      <w:pPr/>
      <w:r>
        <w:t>48次｜烤房调剂年度记录；在线调剂仍需区分试点范围</w:t>
      </w:r>
    </w:p>
    <w:p>
      <w:pPr/>
      <w:r>
        <w:t>18次｜年度报修记录/抢修控制3小时内</w:t>
      </w:r>
    </w:p>
    <w:p>
      <w:pPr/>
      <w:r>
        <w:t>16条/0.38小时｜16条平台工单的平均响应时间，不是平均修复时长</w:t>
      </w:r>
    </w:p>
    <w:p>
      <w:pPr/>
      <w:r>
        <w:t>531份/96.8%｜有效问卷及使用烤房综合满意度</w:t>
      </w:r>
    </w:p>
    <w:p>
      <w:pPr/>
      <w:r>
        <w:t>340多栋｜健康分低于60分的研判对象，不等于全部完成修复</w:t>
      </w:r>
    </w:p>
    <w:p>
      <w:pPr/>
      <w:r>
        <w:t>150栋/7栋｜早期项目计划与讨论稿出现，缺少验收支持，决赛正文不说已完工</w:t>
      </w:r>
    </w:p>
    <w:p>
      <w:pPr/>
      <w:r>
        <w:t>18个/12个｜清查范围与模型参数两个数量出现在不同资料；需字段映射确认</w:t>
      </w:r>
    </w:p>
    <w:p>
      <w:pPr/>
      <w:r>
        <w:t>健康模型｜AHP健康分、剩余寿命预估、风险部位TOP及推荐维修</w:t>
      </w:r>
    </w:p>
    <w:p>
      <w:pPr/>
      <w:r>
        <w:t>发展导引｜数需评推、有效烤能、AHP+熵权组合赋权、TOPSIS推荐</w:t>
      </w:r>
    </w:p>
    <w:p>
      <w:pPr/>
      <w:r>
        <w:t>系统AI助手｜辅助查询和信息归纳，不替代维修验收或建设审批</w:t>
      </w:r>
    </w:p>
    <w:p>
      <w:pPr>
        <w:pStyle w:val="Heading2"/>
      </w:pPr>
      <w:r>
        <w:t>彩排顺序</w:t>
      </w:r>
    </w:p>
    <w:p>
      <w:pPr/>
      <w:r>
        <w:t>固定30秒开场视频；主讲A连续段落要留呼吸，B负责在切页时接住观众。两位讲述人员应以秒表实际验证，句子不要背成同一腔调。超时优先删减模型缩写和二次重复，不能删去关键证据的统计口径。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