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b/>
          <w:sz w:val="32"/>
        </w:rPr>
        <w:t>智烤管家·V3舞台强化修改说明与8分钟校验</w:t>
      </w:r>
    </w:p>
    <w:p>
      <w:pPr>
        <w:spacing w:after="100"/>
      </w:pPr>
      <w:r>
        <w:rPr>
          <w:b w:val="0"/>
        </w:rPr>
        <w:t>本轮只修改讲稿与舞台说法，不改原25页PPT。主要吸收V1生动问答、V2“家庭医生”式生活化比喻，保留V3健康模型与发展模型的算法、已核实数据及四队实操机制。</w:t>
      </w:r>
    </w:p>
    <w:p>
      <w:pPr>
        <w:spacing w:after="100"/>
      </w:pPr>
      <w:r>
        <w:rPr>
          <w:b/>
        </w:rPr>
        <w:t>一、V1—V3优势怎样重新融合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t>过去的优势</w:t>
            </w:r>
          </w:p>
        </w:tc>
        <w:tc>
          <w:tcPr>
            <w:tcW w:type="dxa" w:w="3173"/>
          </w:tcPr>
          <w:p>
            <w:r>
              <w:t>本次新版写法</w:t>
            </w:r>
          </w:p>
        </w:tc>
        <w:tc>
          <w:tcPr>
            <w:tcW w:type="dxa" w:w="3173"/>
          </w:tcPr>
          <w:p>
            <w:r>
              <w:t>现场价值</w:t>
            </w:r>
          </w:p>
        </w:tc>
      </w:tr>
      <w:tr>
        <w:tc>
          <w:tcPr>
            <w:tcW w:type="dxa" w:w="3173"/>
          </w:tcPr>
          <w:p>
            <w:r>
              <w:t>V1“请一位管家”亮相</w:t>
            </w:r>
          </w:p>
        </w:tc>
        <w:tc>
          <w:tcPr>
            <w:tcW w:type="dxa" w:w="3173"/>
          </w:tcPr>
          <w:p>
            <w:r>
              <w:t>给山里的烤房，请一位懂技术、会算账、能跑腿的管家</w:t>
            </w:r>
          </w:p>
        </w:tc>
        <w:tc>
          <w:tcPr>
            <w:tcW w:type="dxa" w:w="3173"/>
          </w:tcPr>
          <w:p>
            <w:r>
              <w:t>开头有画面、有角色</w:t>
            </w:r>
          </w:p>
        </w:tc>
      </w:tr>
      <w:tr>
        <w:tc>
          <w:tcPr>
            <w:tcW w:type="dxa" w:w="3173"/>
          </w:tcPr>
          <w:p>
            <w:r>
              <w:t>V1“打分、找病灶、开清单”</w:t>
            </w:r>
          </w:p>
        </w:tc>
        <w:tc>
          <w:tcPr>
            <w:tcW w:type="dxa" w:w="3173"/>
          </w:tcPr>
          <w:p>
            <w:r>
              <w:t>健康模型：数据入模→权重及寿命测算→风险与维修清单</w:t>
            </w:r>
          </w:p>
        </w:tc>
        <w:tc>
          <w:tcPr>
            <w:tcW w:type="dxa" w:w="3173"/>
          </w:tcPr>
          <w:p>
            <w:r>
              <w:t>技术不再像论文宣读</w:t>
            </w:r>
          </w:p>
        </w:tc>
      </w:tr>
      <w:tr>
        <w:tc>
          <w:tcPr>
            <w:tcW w:type="dxa" w:w="3173"/>
          </w:tcPr>
          <w:p>
            <w:r>
              <w:t>V2“家庭医生”通俗比喻</w:t>
            </w:r>
          </w:p>
        </w:tc>
        <w:tc>
          <w:tcPr>
            <w:tcW w:type="dxa" w:w="3173"/>
          </w:tcPr>
          <w:p>
            <w:r>
              <w:t>好比请来一位体检医生，先打分、找病灶、再开清单</w:t>
            </w:r>
          </w:p>
        </w:tc>
        <w:tc>
          <w:tcPr>
            <w:tcW w:type="dxa" w:w="3173"/>
          </w:tcPr>
          <w:p>
            <w:r>
              <w:t>信息与烟叶两类评委都听得懂</w:t>
            </w:r>
          </w:p>
        </w:tc>
      </w:tr>
      <w:tr>
        <w:tc>
          <w:tcPr>
            <w:tcW w:type="dxa" w:w="3173"/>
          </w:tcPr>
          <w:p>
            <w:r>
              <w:t>9.30原稿“匠心工坊”</w:t>
            </w:r>
          </w:p>
        </w:tc>
        <w:tc>
          <w:tcPr>
            <w:tcW w:type="dxa" w:w="3173"/>
          </w:tcPr>
          <w:p>
            <w:r>
              <w:t>一座烤房，守着烟农一年的收成</w:t>
            </w:r>
          </w:p>
        </w:tc>
        <w:tc>
          <w:tcPr>
            <w:tcW w:type="dxa" w:w="3173"/>
          </w:tcPr>
          <w:p>
            <w:r>
              <w:t>保留温度与真实场景</w:t>
            </w:r>
          </w:p>
        </w:tc>
      </w:tr>
      <w:tr>
        <w:tc>
          <w:tcPr>
            <w:tcW w:type="dxa" w:w="3173"/>
          </w:tcPr>
          <w:p>
            <w:r>
              <w:t>原稿“三缺”归因</w:t>
            </w:r>
          </w:p>
        </w:tc>
        <w:tc>
          <w:tcPr>
            <w:tcW w:type="dxa" w:w="3173"/>
          </w:tcPr>
          <w:p>
            <w:r>
              <w:t>有房未必调得动、有钱未必投得准、有人未必管得久</w:t>
            </w:r>
          </w:p>
        </w:tc>
        <w:tc>
          <w:tcPr>
            <w:tcW w:type="dxa" w:w="3173"/>
          </w:tcPr>
          <w:p>
            <w:r>
              <w:t>排比增强辨识度</w:t>
            </w:r>
          </w:p>
        </w:tc>
      </w:tr>
      <w:tr>
        <w:tc>
          <w:tcPr>
            <w:tcW w:type="dxa" w:w="3173"/>
          </w:tcPr>
          <w:p>
            <w:r>
              <w:t>V3技术核心</w:t>
            </w:r>
          </w:p>
        </w:tc>
        <w:tc>
          <w:tcPr>
            <w:tcW w:type="dxa" w:w="3173"/>
          </w:tcPr>
          <w:p>
            <w:r>
              <w:t>健康分80/10/10；有效烤能、AHP/熵权/TOPSIS及数需评推</w:t>
            </w:r>
          </w:p>
        </w:tc>
        <w:tc>
          <w:tcPr>
            <w:tcW w:type="dxa" w:w="3173"/>
          </w:tcPr>
          <w:p>
            <w:r>
              <w:t>专业度与关键方法不丢</w:t>
            </w:r>
          </w:p>
        </w:tc>
      </w:tr>
      <w:tr>
        <w:tc>
          <w:tcPr>
            <w:tcW w:type="dxa" w:w="3173"/>
          </w:tcPr>
          <w:p>
            <w:r>
              <w:t>V3运营落地</w:t>
            </w:r>
          </w:p>
        </w:tc>
        <w:tc>
          <w:tcPr>
            <w:tcW w:type="dxa" w:w="3173"/>
          </w:tcPr>
          <w:p>
            <w:r>
              <w:t>48次调剂、18次报修、16单平均0.38小时；1363栋、81%及近190万基金</w:t>
            </w:r>
          </w:p>
        </w:tc>
        <w:tc>
          <w:tcPr>
            <w:tcW w:type="dxa" w:w="3173"/>
          </w:tcPr>
          <w:p>
            <w:r>
              <w:t>数据、流程、人员资金完整闭环</w:t>
            </w:r>
          </w:p>
        </w:tc>
      </w:tr>
      <w:tr>
        <w:tc>
          <w:tcPr>
            <w:tcW w:type="dxa" w:w="3173"/>
          </w:tcPr>
          <w:p>
            <w:r>
              <w:t>V1结尾“数据不睡觉”</w:t>
            </w:r>
          </w:p>
        </w:tc>
        <w:tc>
          <w:tcPr>
            <w:tcW w:type="dxa" w:w="3173"/>
          </w:tcPr>
          <w:p>
            <w:r>
              <w:t>数据不睡觉，服务不断线；聚数成方，一脉致远</w:t>
            </w:r>
          </w:p>
        </w:tc>
        <w:tc>
          <w:tcPr>
            <w:tcW w:type="dxa" w:w="3173"/>
          </w:tcPr>
          <w:p>
            <w:r>
              <w:t>收尾有节奏和记忆点</w:t>
            </w:r>
          </w:p>
        </w:tc>
      </w:tr>
    </w:tbl>
    <w:p>
      <w:pPr>
        <w:spacing w:after="100"/>
      </w:pPr>
      <w:r>
        <w:rPr>
          <w:b/>
        </w:rPr>
        <w:t>二、A/B台词及总时长</w:t>
      </w:r>
    </w:p>
    <w:p>
      <w:pPr>
        <w:spacing w:after="100"/>
      </w:pPr>
      <w:r>
        <w:rPr>
          <w:b w:val="0"/>
        </w:rPr>
        <w:t>A角1063个口述汉字（69.66%），B角463个（30.34%）；合计1526字，接近7:3。PPT标题和括号内提示均不朗读。</w:t>
      </w:r>
    </w:p>
    <w:p>
      <w:pPr>
        <w:spacing w:after="100"/>
      </w:pPr>
      <w:r>
        <w:rPr>
          <w:b w:val="0"/>
        </w:rPr>
        <w:t>语速220汉字/分钟：口述约6.94分钟 + 视频30秒 + 换页/停顿25秒 ≈ 7分51秒。</w:t>
      </w:r>
    </w:p>
    <w:p>
      <w:pPr>
        <w:spacing w:after="100"/>
      </w:pPr>
      <w:r>
        <w:rPr>
          <w:b w:val="0"/>
        </w:rPr>
        <w:t>语速230汉字/分钟：口述约6.63分钟 + 视频30秒 + 换页/停顿25秒 ≈ 7分33秒。</w:t>
      </w:r>
    </w:p>
    <w:p>
      <w:pPr>
        <w:spacing w:after="100"/>
      </w:pPr>
      <w:r>
        <w:rPr>
          <w:b w:val="0"/>
        </w:rPr>
        <w:t>语速240汉字/分钟：口述约6.36分钟 + 视频30秒 + 换页/停顿25秒 ≈ 7分16秒。</w:t>
      </w:r>
    </w:p>
    <w:p>
      <w:pPr>
        <w:spacing w:after="100"/>
      </w:pPr>
      <w:r>
        <w:rPr>
          <w:b w:val="0"/>
        </w:rPr>
        <w:t>开场视频原素材约41.5秒。上述时长必须以裁剪后30秒为前提；第14、16、17、19页视频若再独立完整播放，极可能超时。建议两人至少完成3次实测彩排。</w:t>
      </w:r>
    </w:p>
    <w:p>
      <w:pPr>
        <w:spacing w:after="100"/>
      </w:pPr>
      <w:r>
        <w:rPr>
          <w:b/>
        </w:rPr>
        <w:t>三、三项专业边界</w:t>
      </w:r>
    </w:p>
    <w:p>
      <w:pPr>
        <w:spacing w:after="100"/>
      </w:pPr>
      <w:r>
        <w:rPr>
          <w:b w:val="0"/>
        </w:rPr>
        <w:t>① 第6页四大部位十八个清查项，与第8页十二项健康模型参数不是同一个口径，不能混作一项。② 第8页图中寿命合成测算与第9页威布尔表述，应由技术团队统一参数和现行算法；为避免误导，台上只说“结合使用年限估算剩余寿命”。③ 0.38小时是16条平台工单的平均响应，不是全部18条报修的平均维修完结时长。</w:t>
      </w:r>
    </w:p>
    <w:p>
      <w:pPr>
        <w:spacing w:after="100"/>
      </w:pPr>
      <w:r>
        <w:rPr>
          <w:b/>
        </w:rPr>
        <w:t>四、落实口径与现场价值</w:t>
      </w:r>
    </w:p>
    <w:p>
      <w:pPr>
        <w:spacing w:after="100"/>
      </w:pPr>
      <w:r>
        <w:rPr>
          <w:b w:val="0"/>
        </w:rPr>
        <w:t>正式成果优先采用：秭归2442座全口径建档、健康分低于60的340多座预警对象、48次调剂、18次报修、16条工单平均响应0.38小时、531份问卷综合满意度96.8%、两级合作社统筹管护1363栋/年度在用1672栋约81%、基金总额近190万元。</w:t>
      </w:r>
    </w:p>
    <w:p>
      <w:pPr>
        <w:spacing w:after="100"/>
      </w:pPr>
      <w:r>
        <w:rPr>
          <w:b w:val="0"/>
        </w:rPr>
        <w:t>原稿中的“150栋升级已完成”“肖家坪7栋已建成”、雷击案例具体维修点、影像12478张和6704条评价等，如后续要放回主稿，建议先补齐同年度验收或工作台账佐证。</w:t>
      </w:r>
    </w:p>
    <w:sectPr w:rsidR="00FC693F" w:rsidRPr="0006063C" w:rsidSect="00034616"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_GB2312" w:hAnsi="仿宋_GB2312" w:eastAsia="仿宋_GB231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