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70" w:line="330" w:lineRule="auto"/>
      </w:pPr>
      <w:r>
        <w:rPr>
          <w:rFonts w:ascii="黑体" w:hAnsi="黑体" w:eastAsia="黑体"/>
          <w:sz w:val="28"/>
          <w:szCs w:val="28"/>
          <w:b/>
        </w:rPr>
        <w:t xml:space="preserve">智烤管家｜修改复核与场景化说明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总思路：保留已确认的三个问题及五段开头；123不再机械介绍模块，而按“摸底—判断—应用—回写”形成因果链。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董意见｜智投具体：维修讲“风险部位、成本与寿命比较”，新建讲“缺口判断与地图沙盘”；输出只作辅助决策，现场踏勘审批不省略。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董意见｜智管保障：对“谁来管、钱怎么来、执行如何验收”的问题，补入四队分工、制度基金、派单与复核回库。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陈意见｜开场逻辑：不再先以抽象口号作铺垫，直接从用户指定的三道问题与三个场景进入。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陈意见｜数据来路：“采数”明确原有Excel导入、统一编码、扫码补采；维修记录和评价来自使用与管护过程的回写。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陈意见｜模型输入：将“重新输入数据”改为“直接从数据库调用”，避免重复采集与重复录入的逻辑错误。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陈意见｜模型分量：健康模型保留“取数—计算—输出”三步与AHP、威布尔分布；千亩村模型保留“数—需—评—推”及TOPSIS；压缩解释。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陈意见｜智用与智管去重：智用聚焦烟农能看什么、点什么、体验什么；智管聚焦后台工单、人员执行、验收与数据回写。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陈意见｜三智篇幅：在三智引入“烟农—资金管理人员—管护负责人”三个身份，增强代入感；不宣称其中任何一个是假冒的真实现场案例。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轴稿借鉴：吸收“问题先讲透，应用跟着用户走”的表达，而不采用先智用、再智管、最后智投的整体顺序，保持123主线。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9.30稿保留：保留动态档案、维修优先级、地图沙盘、紧急抢修、四队管护等已出现的项目亮点，避免编造新增功能。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创新点提炼：突出“一房一档可更新—两模联动可解释—三智办事有反馈”三层价值；不把AI助手或大屏作为唯一创新核心。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大赛要求：应继续核实数据真实性、至少3个月运行、可复制推广和展示时间；不得把假设场景、模型建议写成真实已完成成果。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数据口径：48次调剂与线上预约不等同；18次报修处置与16条平台工单分开；0.38小时为平台工单平均响应，不是总维修耗时。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尚待核实：150栋升级与7栋新建的完成/安排状态、340余栋预警的核实状态、满意度口径，在净稿中未以可能引起误解的措辞强调。</w:t>
      </w:r>
    </w:p>
    <w:p>
      <w:pPr>
        <w:jc w:val="both"/>
        <w:spacing w:before="0" w:after="70" w:line="330" w:lineRule="auto"/>
      </w:pPr>
      <w:r>
        <w:rPr>
          <w:rFonts w:ascii="仿宋_GB2312" w:hAnsi="仿宋_GB2312" w:eastAsia="仿宋_GB2312"/>
          <w:sz w:val="24"/>
          <w:szCs w:val="24"/>
        </w:rPr>
        <w:t xml:space="preserve">现场时长：30秒视频计入8分钟，口播需给操作演示、专业术语与情绪停顿留白；如超时优先删成果前重复句。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仿宋_GB2312" w:ascii="仿宋_GB2312" w:hAnsi="仿宋_GB2312"/>
        <w:sz w:val="28"/>
      </w:rPr>
    </w:rPrDefault>
  </w:docDefaults>
  <w:style w:type="paragraph" w:default="1" w:styleId="Normal">
    <w:name w:val="Normal"/>
  </w:style>
</w:styles>
</file>