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方正小标宋简体" w:hAnsi="方正小标宋简体" w:eastAsia="方正小标宋简体" w:cs="方正小标宋简体"/>
          <w:b/>
          <w:sz w:val="44"/>
        </w:rPr>
        <w:t>0929 V1 → 本轮正式参赛版逐段修改对照</w:t>
      </w:r>
    </w:p>
    <w:p>
      <w:pPr>
        <w:jc w:val="center"/>
      </w:pPr>
      <w:r>
        <w:rPr>
          <w:rFonts w:ascii="仿宋_GB2312" w:hAnsi="仿宋_GB2312" w:eastAsia="仿宋_GB2312" w:cs="仿宋_GB2312"/>
          <w:b w:val="0"/>
          <w:color w:val="505050"/>
          <w:sz w:val="26"/>
        </w:rPr>
        <w:t>原稿问题 · 新稿修改 · 修改理由 · 09300004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FFF2CC"/>
          </w:tcPr>
          <w:p>
            <w:r/>
            <w:r>
              <w:rPr>
                <w:rFonts w:ascii="黑体" w:hAnsi="黑体" w:eastAsia="黑体" w:cs="黑体"/>
                <w:b/>
                <w:sz w:val="22"/>
              </w:rPr>
              <w:t xml:space="preserve">对照原则： </w:t>
            </w:r>
            <w:r>
              <w:rPr>
                <w:rFonts w:ascii="楷体_GB2312" w:hAnsi="楷体_GB2312" w:eastAsia="楷体_GB2312" w:cs="楷体_GB2312"/>
                <w:sz w:val="22"/>
              </w:rPr>
              <w:t>不是简单换词，而是检查每一段是否完成决赛稿应有的功能：身份、问题、根因、框架、技术过程、案例、硬结果、创新总结和收束。</w:t>
            </w:r>
          </w:p>
        </w:tc>
      </w:tr>
    </w:tbl>
    <w:p>
      <w:pPr>
        <w:pStyle w:val="Heading1"/>
        <w:spacing w:before="160" w:after="80"/>
      </w:pPr>
      <w:r>
        <w:rPr>
          <w:rFonts w:ascii="黑体" w:hAnsi="黑体" w:eastAsia="黑体" w:cs="黑体"/>
          <w:b/>
          <w:sz w:val="36"/>
        </w:rPr>
        <w:t>一、十个核心段落修改对照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vAlign w:val="center"/>
            <w:shd w:fill="D9E2F3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sz w:val="16"/>
              </w:rPr>
              <w:t>段落</w:t>
            </w:r>
          </w:p>
        </w:tc>
        <w:tc>
          <w:tcPr>
            <w:tcW w:type="dxa" w:w="2408"/>
            <w:vAlign w:val="center"/>
            <w:shd w:fill="D9E2F3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sz w:val="16"/>
              </w:rPr>
              <w:t>0929 V1</w:t>
            </w:r>
          </w:p>
        </w:tc>
        <w:tc>
          <w:tcPr>
            <w:tcW w:type="dxa" w:w="2408"/>
            <w:vAlign w:val="center"/>
            <w:shd w:fill="D9E2F3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sz w:val="16"/>
              </w:rPr>
              <w:t>本版修改</w:t>
            </w:r>
          </w:p>
        </w:tc>
        <w:tc>
          <w:tcPr>
            <w:tcW w:type="dxa" w:w="2408"/>
            <w:vAlign w:val="center"/>
            <w:shd w:fill="D9E2F3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/>
                <w:sz w:val="16"/>
              </w:rPr>
              <w:t>修改理由</w:t>
            </w:r>
          </w:p>
        </w:tc>
      </w:tr>
      <w:tr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开场</w:t>
            </w:r>
          </w:p>
        </w:tc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B先出58/82分模型题，A随后自我介绍</w:t>
            </w:r>
          </w:p>
        </w:tc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A先身份，B用没房/故障/修还是建三问切入</w:t>
            </w:r>
          </w:p>
        </w:tc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先认识人、进场景，再提方法</w:t>
            </w:r>
          </w:p>
        </w:tc>
      </w:tr>
      <w:tr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问题剖析</w:t>
            </w:r>
          </w:p>
        </w:tc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主要说过去没有统一答案，重点是健康/寿命/缺口</w:t>
            </w:r>
          </w:p>
        </w:tc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烟农、烟站、合作社三愁→三大痛点→用投管割裂</w:t>
            </w:r>
          </w:p>
        </w:tc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从算法解题提升到行业管理问题</w:t>
            </w:r>
          </w:p>
        </w:tc>
      </w:tr>
      <w:tr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总体框架</w:t>
            </w:r>
          </w:p>
        </w:tc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两颗大脑+数据库+平台+三智</w:t>
            </w:r>
          </w:p>
        </w:tc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1234：一库清底、双模决策、三智协同、四队长效</w:t>
            </w:r>
          </w:p>
        </w:tc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形成可复述记忆结构</w:t>
            </w:r>
          </w:p>
        </w:tc>
      </w:tr>
      <w:tr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健康模型</w:t>
            </w:r>
          </w:p>
        </w:tc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拆关键部件，综合状态、寿命、维修、管护、人工评价</w:t>
            </w:r>
          </w:p>
        </w:tc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4部位12关键部件；状态/寿命占比/现场评价→80/10/10；AHP；威布尔</w:t>
            </w:r>
          </w:p>
        </w:tc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与9/10官方口径一致，讲清怎么做</w:t>
            </w:r>
          </w:p>
        </w:tc>
      </w:tr>
      <w:tr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寿命模型</w:t>
            </w:r>
          </w:p>
        </w:tc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结构硬上限、功能件、维修折损、健康校准、房龄约束</w:t>
            </w:r>
          </w:p>
        </w:tc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固定成五层递进并输出剩余年限/四级预警/风险部件</w:t>
            </w:r>
          </w:p>
        </w:tc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形成输入—方法—输出—动作</w:t>
            </w:r>
          </w:p>
        </w:tc>
      </w:tr>
      <w:tr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新建模型</w:t>
            </w:r>
          </w:p>
        </w:tc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区位熵→AHP/熵权→TOPSIS→情景推演</w:t>
            </w:r>
          </w:p>
        </w:tc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先有效烤能，再50/30/20，AHP+熵权，TOPSIS，2/5/10%沙盘</w:t>
            </w:r>
          </w:p>
        </w:tc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减少算法堆叠，突出官方已落地技术</w:t>
            </w:r>
          </w:p>
        </w:tc>
      </w:tr>
      <w:tr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双模耦合</w:t>
            </w:r>
          </w:p>
        </w:tc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后半段才强调健康结果进入第二模型</w:t>
            </w:r>
          </w:p>
        </w:tc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第二模型第一句说明健康结果折算有效烤能</w:t>
            </w:r>
          </w:p>
        </w:tc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本项目最有辨识度的创新必须前置</w:t>
            </w:r>
          </w:p>
        </w:tc>
      </w:tr>
      <w:tr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平台落地</w:t>
            </w:r>
          </w:p>
        </w:tc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智用/智投/智管+四支队伍</w:t>
            </w:r>
          </w:p>
        </w:tc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补申请—派单—验收—评价—数据回写，AI助手降级为辅助</w:t>
            </w:r>
          </w:p>
        </w:tc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平台执行模型，不抢双模主角</w:t>
            </w:r>
          </w:p>
        </w:tc>
      </w:tr>
      <w:tr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结果</w:t>
            </w:r>
          </w:p>
        </w:tc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磨坪50栋、115炕、1380担、185担、雷击&lt;3h</w:t>
            </w:r>
          </w:p>
        </w:tc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保留案例，增加2442、48、0.38h、96.8%、81%、近190万元</w:t>
            </w:r>
          </w:p>
        </w:tc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提高可信度和答辩抗压</w:t>
            </w:r>
          </w:p>
        </w:tc>
      </w:tr>
      <w:tr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结尾</w:t>
            </w:r>
          </w:p>
        </w:tc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好房用、旧房修、缺口建、建后管</w:t>
            </w:r>
          </w:p>
        </w:tc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先三大创新，再口诀，再三组从…到…</w:t>
            </w:r>
          </w:p>
        </w:tc>
        <w:tc>
          <w:tcPr>
            <w:tcW w:type="dxa" w:w="2408"/>
            <w:vAlign w:val="center"/>
          </w:tcPr>
          <w:p>
            <w:pPr>
              <w:spacing w:line="252" w:lineRule="auto"/>
            </w:pPr>
            <w:r/>
            <w:r>
              <w:rPr>
                <w:rFonts w:ascii="Noto Sans CJK SC" w:hAnsi="Noto Sans CJK SC" w:eastAsia="Noto Sans CJK SC" w:cs="Noto Sans CJK SC"/>
                <w:b w:val="0"/>
                <w:sz w:val="16"/>
              </w:rPr>
              <w:t>先理性记忆，再情绪收束</w:t>
            </w:r>
          </w:p>
        </w:tc>
      </w:tr>
    </w:tbl>
    <w:p>
      <w:pPr>
        <w:pStyle w:val="Heading1"/>
        <w:spacing w:before="160" w:after="80"/>
      </w:pPr>
      <w:r>
        <w:rPr>
          <w:rFonts w:ascii="黑体" w:hAnsi="黑体" w:eastAsia="黑体" w:cs="黑体"/>
          <w:b/>
          <w:sz w:val="36"/>
        </w:rPr>
        <w:t>二、0929 V1值得保留的内容</w:t>
      </w:r>
    </w:p>
    <w:p>
      <w:pPr>
        <w:spacing w:line="324" w:lineRule="auto"/>
      </w:pPr>
      <w:r>
        <w:rPr>
          <w:rFonts w:ascii="仿宋_GB2312" w:hAnsi="仿宋_GB2312" w:eastAsia="仿宋_GB2312" w:cs="仿宋_GB2312"/>
          <w:sz w:val="26"/>
        </w:rPr>
        <w:t>• “维修可以续命，但不能回春”——保留并提升为健康模型技术口号。</w:t>
      </w:r>
    </w:p>
    <w:p>
      <w:pPr>
        <w:spacing w:line="324" w:lineRule="auto"/>
      </w:pPr>
      <w:r>
        <w:rPr>
          <w:rFonts w:ascii="仿宋_GB2312" w:hAnsi="仿宋_GB2312" w:eastAsia="仿宋_GB2312" w:cs="仿宋_GB2312"/>
          <w:sz w:val="26"/>
        </w:rPr>
        <w:t>• “健康模型结果进入有效烤能”——保留并前置为双模耦合核心创新。</w:t>
      </w:r>
    </w:p>
    <w:p>
      <w:pPr>
        <w:spacing w:line="324" w:lineRule="auto"/>
      </w:pPr>
      <w:r>
        <w:rPr>
          <w:rFonts w:ascii="仿宋_GB2312" w:hAnsi="仿宋_GB2312" w:eastAsia="仿宋_GB2312" w:cs="仿宋_GB2312"/>
          <w:sz w:val="26"/>
        </w:rPr>
        <w:t>• “先盘活、再修复、仍有缺口才新建”——改为“先调剂、再修复、仍有结构性缺口才新建”。</w:t>
      </w:r>
    </w:p>
    <w:p>
      <w:pPr>
        <w:spacing w:line="324" w:lineRule="auto"/>
      </w:pPr>
      <w:r>
        <w:rPr>
          <w:rFonts w:ascii="仿宋_GB2312" w:hAnsi="仿宋_GB2312" w:eastAsia="仿宋_GB2312" w:cs="仿宋_GB2312"/>
          <w:sz w:val="26"/>
        </w:rPr>
        <w:t>• 磨坪雷击案例——保留，作为真实现场感证据。</w:t>
      </w:r>
    </w:p>
    <w:p>
      <w:pPr>
        <w:spacing w:line="324" w:lineRule="auto"/>
      </w:pPr>
      <w:r>
        <w:rPr>
          <w:rFonts w:ascii="仿宋_GB2312" w:hAnsi="仿宋_GB2312" w:eastAsia="仿宋_GB2312" w:cs="仿宋_GB2312"/>
          <w:sz w:val="26"/>
        </w:rPr>
        <w:t>• “好房充分用、旧房精准修、缺口科学建、建后持续管”——保留，作为最后口诀。</w:t>
      </w:r>
    </w:p>
    <w:p>
      <w:pPr>
        <w:pStyle w:val="Heading1"/>
        <w:spacing w:before="160" w:after="80"/>
      </w:pPr>
      <w:r>
        <w:rPr>
          <w:rFonts w:ascii="黑体" w:hAnsi="黑体" w:eastAsia="黑体" w:cs="黑体"/>
          <w:b/>
          <w:sz w:val="36"/>
        </w:rPr>
        <w:t>三、本轮新增且必须保留的内容</w:t>
      </w:r>
    </w:p>
    <w:p>
      <w:pPr>
        <w:spacing w:line="324" w:lineRule="auto"/>
      </w:pPr>
      <w:r>
        <w:rPr>
          <w:rFonts w:ascii="仿宋_GB2312" w:hAnsi="仿宋_GB2312" w:eastAsia="仿宋_GB2312" w:cs="仿宋_GB2312"/>
          <w:sz w:val="26"/>
        </w:rPr>
        <w:t>• A/B身份与团队介绍；</w:t>
      </w:r>
    </w:p>
    <w:p>
      <w:pPr>
        <w:spacing w:line="324" w:lineRule="auto"/>
      </w:pPr>
      <w:r>
        <w:rPr>
          <w:rFonts w:ascii="仿宋_GB2312" w:hAnsi="仿宋_GB2312" w:eastAsia="仿宋_GB2312" w:cs="仿宋_GB2312"/>
          <w:sz w:val="26"/>
        </w:rPr>
        <w:t>• 烟农、烟站、合作社“三愁”及三大官方痛点；</w:t>
      </w:r>
    </w:p>
    <w:p>
      <w:pPr>
        <w:spacing w:line="324" w:lineRule="auto"/>
      </w:pPr>
      <w:r>
        <w:rPr>
          <w:rFonts w:ascii="仿宋_GB2312" w:hAnsi="仿宋_GB2312" w:eastAsia="仿宋_GB2312" w:cs="仿宋_GB2312"/>
          <w:sz w:val="26"/>
        </w:rPr>
        <w:t>• “1234”记忆结构；</w:t>
      </w:r>
    </w:p>
    <w:p>
      <w:pPr>
        <w:spacing w:line="324" w:lineRule="auto"/>
      </w:pPr>
      <w:r>
        <w:rPr>
          <w:rFonts w:ascii="仿宋_GB2312" w:hAnsi="仿宋_GB2312" w:eastAsia="仿宋_GB2312" w:cs="仿宋_GB2312"/>
          <w:sz w:val="26"/>
        </w:rPr>
        <w:t>• 健康模型完整“输入—评分—寿命—预警—维修动作”；</w:t>
      </w:r>
    </w:p>
    <w:p>
      <w:pPr>
        <w:spacing w:line="324" w:lineRule="auto"/>
      </w:pPr>
      <w:r>
        <w:rPr>
          <w:rFonts w:ascii="仿宋_GB2312" w:hAnsi="仿宋_GB2312" w:eastAsia="仿宋_GB2312" w:cs="仿宋_GB2312"/>
          <w:sz w:val="26"/>
        </w:rPr>
        <w:t>• 有效烤能+50/30/20发展指数+TOPSIS+2/5/10%沙盘的完整新建链；</w:t>
      </w:r>
    </w:p>
    <w:p>
      <w:pPr>
        <w:spacing w:line="324" w:lineRule="auto"/>
      </w:pPr>
      <w:r>
        <w:rPr>
          <w:rFonts w:ascii="仿宋_GB2312" w:hAnsi="仿宋_GB2312" w:eastAsia="仿宋_GB2312" w:cs="仿宋_GB2312"/>
          <w:sz w:val="26"/>
        </w:rPr>
        <w:t>• 9月10日官方季末验证数据：2442座、48次调剂、16工单平均0.38小时、96.8%满意度、81%统筹管护、近190万元基金；</w:t>
      </w:r>
    </w:p>
    <w:p>
      <w:pPr>
        <w:spacing w:line="324" w:lineRule="auto"/>
      </w:pPr>
      <w:r>
        <w:rPr>
          <w:rFonts w:ascii="仿宋_GB2312" w:hAnsi="仿宋_GB2312" w:eastAsia="仿宋_GB2312" w:cs="仿宋_GB2312"/>
          <w:sz w:val="26"/>
        </w:rPr>
        <w:t>• 三大创新总结和三个“从……到……”价值转变。</w:t>
      </w:r>
    </w:p>
    <w:sectPr w:rsidR="00FC693F" w:rsidRPr="0006063C" w:rsidSect="00034616">
      <w:footerReference w:type="default" r:id="rId9"/>
      <w:pgSz w:w="12240" w:h="15840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仿宋_GB2312" w:hAnsi="仿宋_GB2312" w:eastAsia="仿宋_GB2312" w:cs="仿宋_GB2312"/>
        <w:b w:val="0"/>
        <w:color w:val="6E6E6E"/>
        <w:sz w:val="18"/>
      </w:rPr>
      <w:t>智烤管家 · 湖北省创客大赛决赛发布材料 · 09300004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仿宋_GB2312" w:hAnsi="仿宋_GB2312" w:eastAsia="仿宋_GB2312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方正小标宋简体" w:hAnsi="方正小标宋简体" w:eastAsia="方正小标宋简体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