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15A57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jc w:val="left"/>
        <w:rPr>
          <w:rFonts w:hint="eastAsia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</w:rPr>
        <w:t>附件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3</w:t>
      </w:r>
    </w:p>
    <w:p w14:paraId="64453D37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jc w:val="left"/>
        <w:rPr>
          <w:rFonts w:hint="eastAsia" w:ascii="黑体" w:hAnsi="黑体" w:eastAsia="黑体"/>
          <w:sz w:val="32"/>
          <w:szCs w:val="32"/>
          <w:lang w:val="en-US" w:eastAsia="zh-CN"/>
        </w:rPr>
      </w:pPr>
    </w:p>
    <w:p w14:paraId="4E715564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jc w:val="left"/>
        <w:rPr>
          <w:rFonts w:hint="eastAsia" w:ascii="黑体" w:hAnsi="黑体" w:eastAsia="黑体"/>
          <w:sz w:val="32"/>
          <w:szCs w:val="32"/>
          <w:lang w:val="en-US" w:eastAsia="zh-CN"/>
        </w:rPr>
      </w:pPr>
    </w:p>
    <w:p w14:paraId="05B3F5CD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center"/>
        <w:rPr>
          <w:rFonts w:hAnsi="方正小标宋简体" w:eastAsia="方正小标宋简体"/>
          <w:sz w:val="44"/>
          <w:szCs w:val="44"/>
        </w:rPr>
      </w:pPr>
    </w:p>
    <w:p w14:paraId="1077D58E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center"/>
        <w:rPr>
          <w:rFonts w:hAnsi="方正小标宋简体" w:eastAsia="方正小标宋简体"/>
          <w:sz w:val="44"/>
          <w:szCs w:val="44"/>
        </w:rPr>
      </w:pPr>
      <w:r>
        <w:rPr>
          <w:rFonts w:hAnsi="方正小标宋简体" w:eastAsia="方正小标宋简体"/>
          <w:sz w:val="44"/>
          <w:szCs w:val="44"/>
        </w:rPr>
        <w:t>202</w:t>
      </w:r>
      <w:r>
        <w:rPr>
          <w:rFonts w:hint="eastAsia" w:hAnsi="方正小标宋简体" w:eastAsia="方正小标宋简体"/>
          <w:sz w:val="44"/>
          <w:szCs w:val="44"/>
          <w:lang w:val="en-US" w:eastAsia="zh-CN"/>
        </w:rPr>
        <w:t>6</w:t>
      </w:r>
      <w:r>
        <w:rPr>
          <w:rFonts w:hAnsi="方正小标宋简体" w:eastAsia="方正小标宋简体"/>
          <w:sz w:val="44"/>
          <w:szCs w:val="44"/>
        </w:rPr>
        <w:t>年数字化转型创客大赛</w:t>
      </w:r>
    </w:p>
    <w:p w14:paraId="09FDC3BE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center"/>
        <w:rPr>
          <w:rFonts w:ascii="方正小标宋简体" w:hAnsi="华文中宋" w:eastAsia="方正小标宋简体"/>
          <w:sz w:val="44"/>
          <w:szCs w:val="44"/>
        </w:rPr>
      </w:pPr>
      <w:r>
        <w:rPr>
          <w:rFonts w:hint="eastAsia" w:ascii="方正小标宋简体" w:hAnsi="华文中宋" w:eastAsia="方正小标宋简体"/>
          <w:sz w:val="44"/>
          <w:szCs w:val="44"/>
          <w:lang w:val="en-US" w:eastAsia="zh-CN"/>
        </w:rPr>
        <w:t>数创</w:t>
      </w:r>
      <w:r>
        <w:rPr>
          <w:rFonts w:hint="eastAsia" w:ascii="方正小标宋简体" w:hAnsi="华文中宋" w:eastAsia="方正小标宋简体"/>
          <w:sz w:val="44"/>
          <w:szCs w:val="44"/>
        </w:rPr>
        <w:t>成果技术资料说明书</w:t>
      </w:r>
    </w:p>
    <w:p w14:paraId="47191887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rPr>
          <w:rFonts w:ascii="方正楷体" w:hAnsi="黑体" w:eastAsia="方正楷体"/>
          <w:sz w:val="30"/>
          <w:szCs w:val="30"/>
        </w:rPr>
      </w:pPr>
    </w:p>
    <w:p w14:paraId="1063D885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楷体" w:hAnsi="黑体" w:eastAsia="方正楷体"/>
          <w:sz w:val="30"/>
          <w:szCs w:val="30"/>
        </w:rPr>
      </w:pPr>
    </w:p>
    <w:p w14:paraId="3CA24912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楷体" w:hAnsi="黑体" w:eastAsia="方正楷体"/>
          <w:sz w:val="30"/>
          <w:szCs w:val="30"/>
        </w:rPr>
      </w:pPr>
    </w:p>
    <w:p w14:paraId="64DF6749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楷体" w:hAnsi="黑体" w:eastAsia="方正楷体"/>
          <w:sz w:val="30"/>
          <w:szCs w:val="30"/>
        </w:rPr>
      </w:pPr>
    </w:p>
    <w:p w14:paraId="4A8E8032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楷体" w:hAnsi="黑体" w:eastAsia="方正楷体"/>
          <w:sz w:val="30"/>
          <w:szCs w:val="30"/>
        </w:rPr>
      </w:pPr>
    </w:p>
    <w:p w14:paraId="06BA5295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楷体" w:hAnsi="黑体" w:eastAsia="方正楷体"/>
          <w:sz w:val="30"/>
          <w:szCs w:val="30"/>
        </w:rPr>
      </w:pPr>
    </w:p>
    <w:p w14:paraId="6C8AAFDA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楷体" w:hAnsi="黑体" w:eastAsia="方正楷体"/>
          <w:sz w:val="30"/>
          <w:szCs w:val="30"/>
        </w:rPr>
      </w:pPr>
    </w:p>
    <w:p w14:paraId="73D6B57B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楷体" w:hAnsi="黑体" w:eastAsia="方正楷体"/>
          <w:sz w:val="30"/>
          <w:szCs w:val="30"/>
        </w:rPr>
      </w:pPr>
    </w:p>
    <w:p w14:paraId="6B86BAA7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仿宋" w:hAnsi="黑体" w:eastAsia="方正仿宋"/>
          <w:sz w:val="30"/>
          <w:szCs w:val="30"/>
        </w:rPr>
      </w:pPr>
    </w:p>
    <w:p w14:paraId="7E0DDA72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hint="eastAsia" w:ascii="方正仿宋" w:hAnsi="黑体" w:eastAsia="方正仿宋"/>
          <w:sz w:val="30"/>
          <w:szCs w:val="30"/>
          <w:u w:val="single"/>
        </w:rPr>
      </w:pPr>
      <w:r>
        <w:rPr>
          <w:rFonts w:hint="eastAsia" w:ascii="方正仿宋" w:hAnsi="黑体" w:eastAsia="方正仿宋"/>
          <w:sz w:val="30"/>
          <w:szCs w:val="30"/>
          <w:lang w:val="en-US" w:eastAsia="zh-CN"/>
        </w:rPr>
        <w:t>课</w:t>
      </w:r>
      <w:r>
        <w:rPr>
          <w:rFonts w:hint="eastAsia" w:ascii="方正仿宋" w:hAnsi="黑体" w:eastAsia="方正仿宋"/>
          <w:sz w:val="30"/>
          <w:szCs w:val="30"/>
        </w:rPr>
        <w:t xml:space="preserve"> 题 名 称：</w:t>
      </w:r>
      <w:r>
        <w:rPr>
          <w:rFonts w:hint="eastAsia" w:ascii="方正仿宋" w:hAnsi="黑体" w:eastAsia="方正仿宋"/>
          <w:sz w:val="30"/>
          <w:szCs w:val="30"/>
          <w:u w:val="single"/>
        </w:rPr>
        <w:t xml:space="preserve">                                 </w:t>
      </w:r>
    </w:p>
    <w:p w14:paraId="3FF9B29C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仿宋" w:hAnsi="黑体" w:eastAsia="方正仿宋"/>
          <w:sz w:val="30"/>
          <w:szCs w:val="30"/>
        </w:rPr>
      </w:pPr>
      <w:r>
        <w:rPr>
          <w:rFonts w:hint="eastAsia" w:ascii="方正仿宋" w:hAnsi="黑体" w:eastAsia="方正仿宋"/>
          <w:sz w:val="30"/>
          <w:szCs w:val="30"/>
          <w:lang w:val="en-US" w:eastAsia="zh-CN"/>
        </w:rPr>
        <w:t>参 赛业务域</w:t>
      </w:r>
      <w:r>
        <w:rPr>
          <w:rFonts w:hint="eastAsia" w:ascii="方正仿宋" w:hAnsi="黑体" w:eastAsia="方正仿宋"/>
          <w:sz w:val="30"/>
          <w:szCs w:val="30"/>
        </w:rPr>
        <w:t>：</w:t>
      </w:r>
      <w:r>
        <w:rPr>
          <w:rFonts w:hint="eastAsia" w:ascii="方正仿宋" w:hAnsi="黑体" w:eastAsia="方正仿宋"/>
          <w:sz w:val="30"/>
          <w:szCs w:val="30"/>
          <w:u w:val="single"/>
        </w:rPr>
        <w:t xml:space="preserve">  烟叶条线                       </w:t>
      </w:r>
    </w:p>
    <w:p w14:paraId="2EF767EF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仿宋" w:hAnsi="黑体" w:eastAsia="方正仿宋"/>
          <w:sz w:val="30"/>
          <w:szCs w:val="30"/>
        </w:rPr>
      </w:pPr>
      <w:r>
        <w:rPr>
          <w:rFonts w:hint="eastAsia" w:ascii="方正仿宋" w:hAnsi="黑体" w:eastAsia="方正仿宋"/>
          <w:sz w:val="30"/>
          <w:szCs w:val="30"/>
        </w:rPr>
        <w:t>参 赛 单 位：</w:t>
      </w:r>
      <w:r>
        <w:rPr>
          <w:rFonts w:hint="eastAsia" w:ascii="方正仿宋" w:hAnsi="黑体" w:eastAsia="方正仿宋"/>
          <w:sz w:val="30"/>
          <w:szCs w:val="30"/>
          <w:u w:val="single"/>
        </w:rPr>
        <w:t xml:space="preserve">  湖北省烟草公司宜昌市公司 </w:t>
      </w:r>
      <w:r>
        <w:rPr>
          <w:rFonts w:hint="eastAsia" w:ascii="方正仿宋" w:hAnsi="黑体" w:eastAsia="方正仿宋"/>
          <w:sz w:val="30"/>
          <w:szCs w:val="30"/>
          <w:u w:val="single"/>
        </w:rPr>
        <w:tab/>
      </w:r>
      <w:r>
        <w:rPr>
          <w:rFonts w:hint="eastAsia" w:ascii="方正仿宋" w:hAnsi="黑体" w:eastAsia="方正仿宋"/>
          <w:sz w:val="30"/>
          <w:szCs w:val="30"/>
          <w:u w:val="single"/>
        </w:rPr>
        <w:t xml:space="preserve">     </w:t>
      </w:r>
    </w:p>
    <w:p w14:paraId="5AAC1BC8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宋体" w:hAnsi="宋体"/>
          <w:bCs/>
          <w:kern w:val="0"/>
          <w:sz w:val="28"/>
        </w:rPr>
        <w:sectPr>
          <w:pgSz w:w="11906" w:h="16838"/>
          <w:pgMar w:top="1440" w:right="1588" w:bottom="1440" w:left="1588" w:header="851" w:footer="992" w:gutter="0"/>
          <w:cols w:space="425" w:num="1"/>
          <w:docGrid w:type="lines" w:linePitch="312" w:charSpace="0"/>
        </w:sectPr>
      </w:pPr>
      <w:r>
        <w:rPr>
          <w:rFonts w:hint="eastAsia" w:ascii="方正仿宋" w:hAnsi="黑体" w:eastAsia="方正仿宋"/>
          <w:sz w:val="30"/>
          <w:szCs w:val="30"/>
        </w:rPr>
        <w:t>日       期：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 xml:space="preserve"> 2026年 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  <w:lang w:val="en-US" w:eastAsia="zh-CN"/>
        </w:rPr>
        <w:t>9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 xml:space="preserve"> 月 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  <w:lang w:val="en-US" w:eastAsia="zh-CN"/>
        </w:rPr>
        <w:t>10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 xml:space="preserve"> 日        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ab/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ab/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ab/>
      </w:r>
    </w:p>
    <w:p w14:paraId="59C1C933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center"/>
        <w:rPr>
          <w:rFonts w:ascii="方正小标宋简体" w:eastAsia="方正小标宋简体" w:hAnsiTheme="minorHAnsi" w:cstheme="minorBidi"/>
          <w:bCs/>
          <w:sz w:val="36"/>
          <w:szCs w:val="36"/>
        </w:rPr>
      </w:pPr>
    </w:p>
    <w:p w14:paraId="4300C3E8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center"/>
        <w:rPr>
          <w:rFonts w:ascii="方正小标宋简体" w:eastAsia="方正小标宋简体" w:hAnsiTheme="minorHAnsi" w:cstheme="minorBidi"/>
          <w:bCs/>
          <w:sz w:val="36"/>
          <w:szCs w:val="36"/>
        </w:rPr>
      </w:pPr>
      <w:r>
        <w:rPr>
          <w:rFonts w:hint="eastAsia" w:ascii="方正小标宋简体" w:eastAsia="方正小标宋简体" w:hAnsiTheme="minorHAnsi" w:cstheme="minorBidi"/>
          <w:bCs/>
          <w:sz w:val="36"/>
          <w:szCs w:val="36"/>
        </w:rPr>
        <w:t>填 报 事 项</w:t>
      </w:r>
    </w:p>
    <w:p w14:paraId="74AEC699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ind w:firstLine="640" w:firstLineChars="200"/>
        <w:rPr>
          <w:rFonts w:eastAsia="方正仿宋"/>
          <w:sz w:val="32"/>
          <w:szCs w:val="32"/>
        </w:rPr>
      </w:pPr>
    </w:p>
    <w:p w14:paraId="1D6FF1FD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一、根据示例规范完整填写成果物清单，仅需填写实际使用的成果，未使用的成果无须填写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；</w:t>
      </w:r>
      <w:r>
        <w:rPr>
          <w:rFonts w:hint="eastAsia" w:ascii="仿宋_GB2312" w:hAnsi="仿宋_GB2312" w:eastAsia="仿宋_GB2312" w:cs="仿宋_GB2312"/>
          <w:sz w:val="32"/>
          <w:szCs w:val="32"/>
        </w:rPr>
        <w:t>其他临时性、测试性成果物统一以建立“备份测试”文件夹进行单独存放。</w:t>
      </w:r>
    </w:p>
    <w:p w14:paraId="64C68E55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二</w:t>
      </w:r>
      <w:r>
        <w:rPr>
          <w:rFonts w:hint="eastAsia" w:ascii="仿宋_GB2312" w:hAnsi="仿宋_GB2312" w:eastAsia="仿宋_GB2312" w:cs="仿宋_GB2312"/>
          <w:sz w:val="32"/>
          <w:szCs w:val="32"/>
        </w:rPr>
        <w:t>、使用自采数据的需配套提供数据使用手册，并在手册中对脱敏数据项加“*”标注。</w:t>
      </w:r>
    </w:p>
    <w:p w14:paraId="61BD7364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三、技术资料说明书应双面打印；报送加盖公章的电子版扫描件和对应word格式原件。</w:t>
      </w:r>
    </w:p>
    <w:p w14:paraId="44375FBA"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hint="eastAsia" w:ascii="仿宋_GB2312" w:hAnsi="仿宋_GB2312" w:eastAsia="仿宋_GB2312" w:cs="仿宋_GB2312"/>
          <w:sz w:val="32"/>
          <w:szCs w:val="32"/>
        </w:rPr>
      </w:pPr>
      <w:bookmarkStart w:id="0" w:name="_Toc27664"/>
    </w:p>
    <w:p w14:paraId="499CFBCB"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</w:p>
    <w:p w14:paraId="684D7C08"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</w:p>
    <w:p w14:paraId="2D8FE469"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</w:p>
    <w:p w14:paraId="06B9DA23"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</w:p>
    <w:p w14:paraId="294A372C"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</w:p>
    <w:p w14:paraId="3DC71A90"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</w:p>
    <w:p w14:paraId="4DFF2BC4"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</w:p>
    <w:p w14:paraId="0C0D3F0B"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</w:p>
    <w:bookmarkEnd w:id="0"/>
    <w:p w14:paraId="522C2811">
      <w:pPr>
        <w:keepNext w:val="0"/>
        <w:keepLines w:val="0"/>
        <w:pageBreakBefore w:val="0"/>
        <w:tabs>
          <w:tab w:val="left" w:pos="2721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center"/>
        <w:rPr>
          <w:rFonts w:eastAsia="方正小标宋简体"/>
          <w:sz w:val="36"/>
          <w:szCs w:val="36"/>
        </w:rPr>
        <w:sectPr>
          <w:pgSz w:w="11906" w:h="16838"/>
          <w:pgMar w:top="1440" w:right="1803" w:bottom="1440" w:left="1803" w:header="851" w:footer="992" w:gutter="0"/>
          <w:cols w:space="0" w:num="1"/>
          <w:docGrid w:type="lines" w:linePitch="319" w:charSpace="0"/>
        </w:sectPr>
      </w:pPr>
      <w:bookmarkStart w:id="1" w:name="_Toc15121"/>
    </w:p>
    <w:bookmarkEnd w:id="1"/>
    <w:p w14:paraId="2A4CC756">
      <w:pPr>
        <w:tabs>
          <w:tab w:val="left" w:pos="2721"/>
        </w:tabs>
        <w:adjustRightInd w:val="0"/>
        <w:snapToGrid w:val="0"/>
        <w:spacing w:line="320" w:lineRule="auto"/>
        <w:jc w:val="center"/>
        <w:rPr>
          <w:rFonts w:hint="eastAsia" w:eastAsia="方正黑体"/>
          <w:b/>
          <w:bCs/>
          <w:sz w:val="32"/>
          <w:szCs w:val="32"/>
          <w:lang w:eastAsia="zh-CN"/>
        </w:rPr>
      </w:pPr>
      <w:r>
        <w:rPr>
          <w:rFonts w:hint="eastAsia" w:ascii="方正黑体" w:eastAsia="方正黑体"/>
          <w:sz w:val="36"/>
          <w:szCs w:val="36"/>
        </w:rPr>
        <w:t>成果物清单</w:t>
      </w:r>
      <w:r>
        <w:rPr>
          <w:rFonts w:hint="eastAsia" w:ascii="方正黑体" w:eastAsia="方正黑体"/>
          <w:sz w:val="36"/>
          <w:szCs w:val="36"/>
          <w:lang w:eastAsia="zh-CN"/>
        </w:rPr>
        <w:t>（</w:t>
      </w:r>
      <w:r>
        <w:rPr>
          <w:rFonts w:hint="eastAsia" w:ascii="方正黑体" w:eastAsia="方正黑体"/>
          <w:sz w:val="36"/>
          <w:szCs w:val="36"/>
          <w:lang w:val="en-US" w:eastAsia="zh-CN"/>
        </w:rPr>
        <w:t>参考提纲</w:t>
      </w:r>
      <w:r>
        <w:rPr>
          <w:rFonts w:hint="eastAsia" w:ascii="方正黑体" w:eastAsia="方正黑体"/>
          <w:sz w:val="36"/>
          <w:szCs w:val="36"/>
          <w:lang w:eastAsia="zh-CN"/>
        </w:rPr>
        <w:t>）</w:t>
      </w:r>
    </w:p>
    <w:tbl>
      <w:tblPr>
        <w:tblStyle w:val="4"/>
        <w:tblW w:w="485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1445"/>
        <w:gridCol w:w="2297"/>
        <w:gridCol w:w="3532"/>
      </w:tblGrid>
      <w:tr w14:paraId="18FBFFD7">
        <w:trPr>
          <w:trHeight w:val="23" w:hRule="atLeast"/>
          <w:tblHeader/>
          <w:jc w:val="center"/>
        </w:trPr>
        <w:tc>
          <w:tcPr>
            <w:tcW w:w="605" w:type="pct"/>
            <w:vAlign w:val="center"/>
          </w:tcPr>
          <w:p w14:paraId="49C12E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技术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工具</w:t>
            </w:r>
          </w:p>
        </w:tc>
        <w:tc>
          <w:tcPr>
            <w:tcW w:w="872" w:type="pct"/>
            <w:vAlign w:val="center"/>
          </w:tcPr>
          <w:p w14:paraId="2576ED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成果物类别</w:t>
            </w:r>
          </w:p>
        </w:tc>
        <w:tc>
          <w:tcPr>
            <w:tcW w:w="1387" w:type="pct"/>
            <w:vAlign w:val="center"/>
          </w:tcPr>
          <w:p w14:paraId="670BAB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成果物清单</w:t>
            </w:r>
          </w:p>
        </w:tc>
        <w:tc>
          <w:tcPr>
            <w:tcW w:w="2133" w:type="pct"/>
            <w:vAlign w:val="center"/>
          </w:tcPr>
          <w:p w14:paraId="0EFEDF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成果物说明</w:t>
            </w:r>
          </w:p>
        </w:tc>
      </w:tr>
      <w:tr w14:paraId="32A341FF">
        <w:trPr>
          <w:trHeight w:val="23" w:hRule="atLeast"/>
          <w:jc w:val="center"/>
        </w:trPr>
        <w:tc>
          <w:tcPr>
            <w:tcW w:w="605" w:type="pct"/>
            <w:vMerge w:val="restart"/>
            <w:vAlign w:val="center"/>
          </w:tcPr>
          <w:p w14:paraId="2D9F2C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FINEBI</w:t>
            </w:r>
          </w:p>
        </w:tc>
        <w:tc>
          <w:tcPr>
            <w:tcW w:w="872" w:type="pct"/>
            <w:vAlign w:val="center"/>
          </w:tcPr>
          <w:p w14:paraId="547E00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仪表板</w:t>
            </w:r>
          </w:p>
        </w:tc>
        <w:tc>
          <w:tcPr>
            <w:tcW w:w="1387" w:type="pct"/>
            <w:vAlign w:val="center"/>
          </w:tcPr>
          <w:p w14:paraId="1FC672C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1.烤房管理数据分析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大屏</w:t>
            </w:r>
          </w:p>
        </w:tc>
        <w:tc>
          <w:tcPr>
            <w:tcW w:w="2133" w:type="pct"/>
            <w:vAlign w:val="center"/>
          </w:tcPr>
          <w:p w14:paraId="08EBD8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1. 综合展示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湖北省宜昌市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烤房资产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数据，以秭归县为例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，包含烤房分布地图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烤房总数量、在用闲置损毁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指标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统计、烤房健康等级五级分布、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烤房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剩余寿命四级预警统计、维修工单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进度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烤房闲置率，维修类型及故障情况统计等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；实现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烤房资产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总览、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健康状态和预警提醒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维修进展和详情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可视化展示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。入口地址：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instrText xml:space="preserve"> HYPERLINK "https://demo.fanruan.com/webroot/decision/v5/design/report/816965458b49460c862dfd68bc46d652/view" </w:instrTex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fldChar w:fldCharType="separate"/>
            </w:r>
            <w:r>
              <w:rPr>
                <w:rStyle w:val="6"/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https://demo.fanruan.com/webroot/decision/v5/design/report/816965458b49460c862dfd68bc46d652/view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fldChar w:fldCharType="end"/>
            </w:r>
          </w:p>
        </w:tc>
      </w:tr>
      <w:tr w14:paraId="7D88066F">
        <w:trPr>
          <w:trHeight w:val="23" w:hRule="atLeast"/>
          <w:jc w:val="center"/>
        </w:trPr>
        <w:tc>
          <w:tcPr>
            <w:tcW w:w="605" w:type="pct"/>
            <w:vMerge w:val="continue"/>
            <w:vAlign w:val="center"/>
          </w:tcPr>
          <w:p w14:paraId="5CE270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72" w:type="pct"/>
            <w:vAlign w:val="center"/>
          </w:tcPr>
          <w:p w14:paraId="111C58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数据源</w:t>
            </w:r>
          </w:p>
        </w:tc>
        <w:tc>
          <w:tcPr>
            <w:tcW w:w="1387" w:type="pct"/>
            <w:vAlign w:val="center"/>
          </w:tcPr>
          <w:p w14:paraId="60DC7B7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数据库web_kaoFa（自建）</w:t>
            </w:r>
          </w:p>
        </w:tc>
        <w:tc>
          <w:tcPr>
            <w:tcW w:w="2133" w:type="pct"/>
            <w:vAlign w:val="center"/>
          </w:tcPr>
          <w:p w14:paraId="4CEA42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1.烤房档案信息表：包括烤房项目基础信息，烤房主体信息，自控设备信息，散热设备信息，自控设备信息，以及健康分及预警，剩余寿命及预警，烤房有效烤能，烤房设施状态等62个字段。</w:t>
            </w:r>
          </w:p>
          <w:p w14:paraId="7BC3C8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2.维修进度表格：包括维修工单号，维修状态，维修进度说明等6个字段。</w:t>
            </w:r>
          </w:p>
          <w:p w14:paraId="2E6C8D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3.维修记录表格：包括维修烤房编号，维修时间，维修类型等45个字段</w:t>
            </w:r>
          </w:p>
        </w:tc>
      </w:tr>
      <w:tr w14:paraId="37242FC2">
        <w:trPr>
          <w:trHeight w:val="23" w:hRule="atLeast"/>
          <w:jc w:val="center"/>
        </w:trPr>
        <w:tc>
          <w:tcPr>
            <w:tcW w:w="605" w:type="pct"/>
            <w:vMerge w:val="continue"/>
            <w:vAlign w:val="center"/>
          </w:tcPr>
          <w:p w14:paraId="2F7140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72" w:type="pct"/>
            <w:vAlign w:val="center"/>
          </w:tcPr>
          <w:p w14:paraId="26A328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数据集</w:t>
            </w:r>
          </w:p>
        </w:tc>
        <w:tc>
          <w:tcPr>
            <w:tcW w:w="1387" w:type="pct"/>
            <w:vAlign w:val="center"/>
          </w:tcPr>
          <w:p w14:paraId="5B3087B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1.烤房数据集</w:t>
            </w:r>
          </w:p>
        </w:tc>
        <w:tc>
          <w:tcPr>
            <w:tcW w:w="2133" w:type="pct"/>
            <w:vAlign w:val="center"/>
          </w:tcPr>
          <w:p w14:paraId="4820260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包括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kf_basedata 烤房项目基础信息表，kf_annex 烤房附属设施表(FS) ，kf_controller 烤房自控设备表(ZK)， kf_heater 烤房加热设备表(JR) ，kf_oven_body 烤房主体表(ZT) ，kf_radiator 烤房散热器表(SR)，repair_requests 烤房维修提报工单，repair_progress 维修工单进度表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 xml:space="preserve">repair_records 维修记录表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以上表格通过烤房编号相关联。</w:t>
            </w:r>
          </w:p>
        </w:tc>
      </w:tr>
      <w:tr w14:paraId="2AE739B1">
        <w:trPr>
          <w:trHeight w:val="23" w:hRule="atLeast"/>
          <w:jc w:val="center"/>
        </w:trPr>
        <w:tc>
          <w:tcPr>
            <w:tcW w:w="605" w:type="pct"/>
            <w:shd w:val="clear"/>
            <w:vAlign w:val="center"/>
          </w:tcPr>
          <w:p w14:paraId="1D56010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低代码开发</w:t>
            </w:r>
          </w:p>
        </w:tc>
        <w:tc>
          <w:tcPr>
            <w:tcW w:w="872" w:type="pct"/>
            <w:shd w:val="clear"/>
            <w:vAlign w:val="center"/>
          </w:tcPr>
          <w:p w14:paraId="210762A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门户</w:t>
            </w:r>
          </w:p>
        </w:tc>
        <w:tc>
          <w:tcPr>
            <w:tcW w:w="1387" w:type="pct"/>
            <w:shd w:val="clear"/>
            <w:vAlign w:val="center"/>
          </w:tcPr>
          <w:p w14:paraId="20EB5FAF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烤房信息采集门户</w:t>
            </w:r>
          </w:p>
        </w:tc>
        <w:tc>
          <w:tcPr>
            <w:tcW w:w="2133" w:type="pct"/>
            <w:shd w:val="clear"/>
            <w:vAlign w:val="center"/>
          </w:tcPr>
          <w:p w14:paraId="6E1FAC0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该门户集成三个主应用，现场数据采集下的烤房项目基础信息，异地上传下的异地上传基础信息，以及信息查询下的烤房信息查询，方便技术员现场或者异地补充烤房档案信息。</w:t>
            </w:r>
          </w:p>
          <w:p w14:paraId="32167D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6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FF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Style w:val="6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FF"/>
                <w:sz w:val="24"/>
                <w:szCs w:val="24"/>
                <w:lang w:val="en-US" w:eastAsia="zh-CN"/>
              </w:rPr>
              <w:instrText xml:space="preserve"> HYPERLINK "https://ddm.sj.tobaccohb.com.cn/qflow/dashboard/eidbq0789402/view" </w:instrText>
            </w:r>
            <w:r>
              <w:rPr>
                <w:rStyle w:val="6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FF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6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FF"/>
                <w:sz w:val="24"/>
                <w:szCs w:val="24"/>
                <w:lang w:val="en-US" w:eastAsia="zh-CN"/>
              </w:rPr>
              <w:t>https://ddm.sj.tobaccohb.com.cn/qflow/dashboard/eidbq0789402/view</w:t>
            </w:r>
            <w:r>
              <w:rPr>
                <w:rStyle w:val="6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FF"/>
                <w:sz w:val="24"/>
                <w:szCs w:val="24"/>
                <w:lang w:val="en-US" w:eastAsia="zh-CN"/>
              </w:rPr>
              <w:fldChar w:fldCharType="end"/>
            </w:r>
          </w:p>
        </w:tc>
      </w:tr>
      <w:tr w14:paraId="6B9EEAD0">
        <w:trPr>
          <w:trHeight w:val="23" w:hRule="atLeast"/>
          <w:jc w:val="center"/>
        </w:trPr>
        <w:tc>
          <w:tcPr>
            <w:tcW w:w="605" w:type="pct"/>
            <w:vAlign w:val="center"/>
          </w:tcPr>
          <w:p w14:paraId="28D26383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72" w:type="pct"/>
            <w:shd w:val="clear"/>
            <w:vAlign w:val="center"/>
          </w:tcPr>
          <w:p w14:paraId="7E0501C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表单</w:t>
            </w:r>
          </w:p>
        </w:tc>
        <w:tc>
          <w:tcPr>
            <w:tcW w:w="1387" w:type="pct"/>
            <w:shd w:val="clear"/>
            <w:vAlign w:val="center"/>
          </w:tcPr>
          <w:p w14:paraId="0DBAB8EA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烤房项目基础信息表（普通）</w:t>
            </w:r>
          </w:p>
          <w:p w14:paraId="30036CA0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烤房主体表（普通）</w:t>
            </w:r>
          </w:p>
          <w:p w14:paraId="28F260E1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烤房燃烧机信息表（普通）</w:t>
            </w:r>
          </w:p>
          <w:p w14:paraId="61266522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烤房加热设备表（普通）</w:t>
            </w:r>
          </w:p>
          <w:p w14:paraId="050824F8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烤房散热器表（普通）</w:t>
            </w:r>
          </w:p>
          <w:p w14:paraId="22730F00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烤房自控设备表（普通）</w:t>
            </w:r>
          </w:p>
          <w:p w14:paraId="01E21900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烤房附属设施表（普通）</w:t>
            </w:r>
          </w:p>
        </w:tc>
        <w:tc>
          <w:tcPr>
            <w:tcW w:w="2133" w:type="pct"/>
            <w:shd w:val="clear"/>
            <w:vAlign w:val="center"/>
          </w:tcPr>
          <w:p w14:paraId="49AFD05E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该表单用来采集每栋烤房的资产主档案，包含烤房编号、地理位置 GPS、建设信息、产权管护主体、受益烟田面积、使用状态等基础信息，所有部位子表均通过项目编号与本表进行关联。</w:t>
            </w:r>
          </w:p>
          <w:p w14:paraId="4A6C4464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该表单记录烤房土建主体各部件信息，包含墙体、屋顶、挂烟梁、装烟室门等部件状态、修复改造年度、现场照片、综合评价，用于烤房主体结构健康度评估。</w:t>
            </w:r>
          </w:p>
          <w:p w14:paraId="435D6231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该表单登记烤房燃烧机设备档案，记录燃烧机型号、厂家、安装年份、设备状态、现场图片等信息。</w:t>
            </w:r>
          </w:p>
          <w:p w14:paraId="328C8A45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该表单采集加热设备部件信息，记录燃烧炉、点火器、炉嘴、传送器有效性、设备参数及现场照片，支撑加热部位健康打分。</w:t>
            </w:r>
          </w:p>
          <w:p w14:paraId="301515B2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该表单记录散热器炉体、炉膛、清灰门、烟囱等部件完整性、密封性，登记修复记录与现场图片，用于散热系统状态研判。</w:t>
            </w:r>
          </w:p>
          <w:p w14:paraId="2AA20463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该表单采集循环风机、自控仪、探头、助燃鼓风机等自控设备的运行状态、维修改造信息与影像，为自控部件健康评估提供原始数据。</w:t>
            </w:r>
          </w:p>
          <w:p w14:paraId="4D4A960E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该表单登记烟夹、电路电器、备用电源、烟棚地坪等附属设施状态、修复年度及现场照片，完善烤房全部件档案采集。</w:t>
            </w:r>
          </w:p>
          <w:p w14:paraId="647AE7EF">
            <w:pPr>
              <w:keepNext w:val="0"/>
              <w:keepLines w:val="0"/>
              <w:widowControl w:val="0"/>
              <w:numPr>
                <w:numId w:val="0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Chars="0" w:right="0" w:rightChars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3619FBF5">
        <w:trPr>
          <w:trHeight w:val="23" w:hRule="atLeast"/>
          <w:jc w:val="center"/>
        </w:trPr>
        <w:tc>
          <w:tcPr>
            <w:tcW w:w="605" w:type="pct"/>
            <w:vAlign w:val="center"/>
          </w:tcPr>
          <w:p w14:paraId="7D7BA2F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72" w:type="pct"/>
            <w:shd w:val="clear"/>
            <w:vAlign w:val="center"/>
          </w:tcPr>
          <w:p w14:paraId="44ABDBD4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Q-robot</w:t>
            </w:r>
          </w:p>
        </w:tc>
        <w:tc>
          <w:tcPr>
            <w:tcW w:w="1387" w:type="pct"/>
            <w:shd w:val="clear"/>
            <w:vAlign w:val="center"/>
          </w:tcPr>
          <w:p w14:paraId="3431942F">
            <w:pPr>
              <w:keepNext w:val="0"/>
              <w:keepLines w:val="0"/>
              <w:widowControl w:val="0"/>
              <w:numPr>
                <w:numId w:val="0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Chars="0" w:right="0" w:rightChars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133" w:type="pct"/>
            <w:shd w:val="clear"/>
            <w:vAlign w:val="center"/>
          </w:tcPr>
          <w:p w14:paraId="3ACAD1D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C320B07">
        <w:trPr>
          <w:trHeight w:val="23" w:hRule="atLeast"/>
          <w:jc w:val="center"/>
        </w:trPr>
        <w:tc>
          <w:tcPr>
            <w:tcW w:w="605" w:type="pct"/>
            <w:shd w:val="clear"/>
            <w:vAlign w:val="center"/>
          </w:tcPr>
          <w:p w14:paraId="66F390D4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AI智能体</w:t>
            </w:r>
          </w:p>
        </w:tc>
        <w:tc>
          <w:tcPr>
            <w:tcW w:w="872" w:type="pct"/>
            <w:shd w:val="clear"/>
            <w:vAlign w:val="center"/>
          </w:tcPr>
          <w:p w14:paraId="3705A8EE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智能体</w:t>
            </w:r>
          </w:p>
        </w:tc>
        <w:tc>
          <w:tcPr>
            <w:tcW w:w="1387" w:type="pct"/>
            <w:shd w:val="clear"/>
            <w:vAlign w:val="center"/>
          </w:tcPr>
          <w:p w14:paraId="46A846FC">
            <w:pPr>
              <w:tabs>
                <w:tab w:val="left" w:pos="312"/>
              </w:tabs>
              <w:adjustRightInd w:val="0"/>
              <w:snapToGrid w:val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烤房信息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智能查询AI助手</w:t>
            </w:r>
          </w:p>
        </w:tc>
        <w:tc>
          <w:tcPr>
            <w:tcW w:w="2133" w:type="pct"/>
            <w:shd w:val="clear"/>
            <w:vAlign w:val="center"/>
          </w:tcPr>
          <w:p w14:paraId="4B92F8BE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本地部署Vanna框架用于自然语言生成SQL，本地部署dify平台并搭建工作流，实现了自然语言提问，AI自动转化为SQL查询语句，查询数据库展示结果，并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将结果返回给用户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。入口地址:</w:t>
            </w:r>
          </w:p>
          <w:p w14:paraId="75548B60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HYPERLINK "http://10.69.156.8/chat/aJoK4NAwE99zz7GE"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6"/>
                <w:rFonts w:hint="eastAsia" w:ascii="宋体" w:hAnsi="宋体" w:eastAsia="宋体" w:cs="宋体"/>
                <w:sz w:val="24"/>
                <w:szCs w:val="24"/>
              </w:rPr>
              <w:t>http://10.69.156.8/chat/aJoK4NAwE99zz7GE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</w:p>
          <w:p w14:paraId="548A30C1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kern w:val="2"/>
                <w:sz w:val="22"/>
                <w:szCs w:val="24"/>
                <w:highlight w:val="yellow"/>
                <w:lang w:val="en-US" w:eastAsia="zh-CN" w:bidi="ar-SA"/>
              </w:rPr>
            </w:pPr>
          </w:p>
        </w:tc>
      </w:tr>
      <w:tr w14:paraId="1A7518EF">
        <w:trPr>
          <w:trHeight w:val="23" w:hRule="atLeast"/>
          <w:jc w:val="center"/>
        </w:trPr>
        <w:tc>
          <w:tcPr>
            <w:tcW w:w="605" w:type="pct"/>
          </w:tcPr>
          <w:p w14:paraId="74980C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72" w:type="pct"/>
            <w:shd w:val="clear"/>
            <w:vAlign w:val="center"/>
          </w:tcPr>
          <w:p w14:paraId="67B414F8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服务器</w:t>
            </w:r>
          </w:p>
        </w:tc>
        <w:tc>
          <w:tcPr>
            <w:tcW w:w="1387" w:type="pct"/>
            <w:shd w:val="clear"/>
            <w:vAlign w:val="center"/>
          </w:tcPr>
          <w:p w14:paraId="66B88AF4">
            <w:pPr>
              <w:numPr>
                <w:ilvl w:val="0"/>
                <w:numId w:val="4"/>
              </w:numPr>
              <w:adjustRightInd w:val="0"/>
              <w:snapToGrid w:val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服务器配置（CPU、内存、GPU等）</w:t>
            </w:r>
          </w:p>
        </w:tc>
        <w:tc>
          <w:tcPr>
            <w:tcW w:w="2133" w:type="pct"/>
            <w:shd w:val="clear"/>
            <w:vAlign w:val="center"/>
          </w:tcPr>
          <w:p w14:paraId="09361929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CPU:Intel Core i9-12900K</w:t>
            </w:r>
          </w:p>
          <w:p w14:paraId="20CF3908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内存：96GB</w:t>
            </w:r>
          </w:p>
          <w:p w14:paraId="6EEC1E2D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kern w:val="2"/>
                <w:sz w:val="22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2"/>
              </w:rPr>
              <w:t>GPU：NVIDIA GeForce RTX 3060Ti</w:t>
            </w:r>
          </w:p>
        </w:tc>
      </w:tr>
      <w:tr w14:paraId="412A67E1">
        <w:trPr>
          <w:trHeight w:val="23" w:hRule="atLeast"/>
          <w:jc w:val="center"/>
        </w:trPr>
        <w:tc>
          <w:tcPr>
            <w:tcW w:w="605" w:type="pct"/>
          </w:tcPr>
          <w:p w14:paraId="20E61D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72" w:type="pct"/>
            <w:shd w:val="clear"/>
            <w:vAlign w:val="center"/>
          </w:tcPr>
          <w:p w14:paraId="258115FC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开发平台</w:t>
            </w:r>
          </w:p>
        </w:tc>
        <w:tc>
          <w:tcPr>
            <w:tcW w:w="1387" w:type="pct"/>
            <w:shd w:val="clear"/>
            <w:vAlign w:val="center"/>
          </w:tcPr>
          <w:p w14:paraId="5B1C8B7E">
            <w:pPr>
              <w:numPr>
                <w:ilvl w:val="0"/>
                <w:numId w:val="5"/>
              </w:numPr>
              <w:adjustRightInd w:val="0"/>
              <w:snapToGrid w:val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项目工程文件、代码</w:t>
            </w:r>
          </w:p>
        </w:tc>
        <w:tc>
          <w:tcPr>
            <w:tcW w:w="2133" w:type="pct"/>
            <w:shd w:val="clear"/>
            <w:vAlign w:val="center"/>
          </w:tcPr>
          <w:p w14:paraId="6F7D5595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Vanna本地部署源文件</w:t>
            </w:r>
          </w:p>
          <w:p w14:paraId="20E1B28D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Dify工作流</w:t>
            </w:r>
          </w:p>
        </w:tc>
      </w:tr>
      <w:tr w14:paraId="1788EE47">
        <w:trPr>
          <w:trHeight w:val="23" w:hRule="atLeast"/>
          <w:jc w:val="center"/>
        </w:trPr>
        <w:tc>
          <w:tcPr>
            <w:tcW w:w="605" w:type="pct"/>
          </w:tcPr>
          <w:p w14:paraId="4F5491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72" w:type="pct"/>
            <w:shd w:val="clear" w:color="auto" w:fill="auto"/>
            <w:vAlign w:val="center"/>
          </w:tcPr>
          <w:p w14:paraId="27A409C4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大模型</w:t>
            </w:r>
          </w:p>
        </w:tc>
        <w:tc>
          <w:tcPr>
            <w:tcW w:w="1387" w:type="pct"/>
            <w:shd w:val="clear"/>
            <w:vAlign w:val="center"/>
          </w:tcPr>
          <w:p w14:paraId="680FF69A">
            <w:pPr>
              <w:numPr>
                <w:ilvl w:val="0"/>
                <w:numId w:val="6"/>
              </w:numPr>
              <w:adjustRightInd w:val="0"/>
              <w:snapToGrid w:val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DeepSeek R1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模型</w:t>
            </w:r>
          </w:p>
        </w:tc>
        <w:tc>
          <w:tcPr>
            <w:tcW w:w="2133" w:type="pct"/>
            <w:shd w:val="clear"/>
            <w:vAlign w:val="center"/>
          </w:tcPr>
          <w:p w14:paraId="17B0558C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GLM-4.5v,GLM-4-flash,DeepSeek R1 14b</w:t>
            </w:r>
          </w:p>
        </w:tc>
      </w:tr>
      <w:tr w14:paraId="4452D891">
        <w:trPr>
          <w:trHeight w:val="23" w:hRule="atLeast"/>
          <w:jc w:val="center"/>
        </w:trPr>
        <w:tc>
          <w:tcPr>
            <w:tcW w:w="605" w:type="pct"/>
            <w:shd w:val="clear"/>
            <w:vAlign w:val="center"/>
          </w:tcPr>
          <w:p w14:paraId="2410CCBB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HTML+JS</w:t>
            </w:r>
          </w:p>
        </w:tc>
        <w:tc>
          <w:tcPr>
            <w:tcW w:w="872" w:type="pct"/>
            <w:shd w:val="clear"/>
            <w:vAlign w:val="center"/>
          </w:tcPr>
          <w:p w14:paraId="7B77C160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应用</w:t>
            </w:r>
          </w:p>
        </w:tc>
        <w:tc>
          <w:tcPr>
            <w:tcW w:w="1387" w:type="pct"/>
            <w:shd w:val="clear"/>
            <w:vAlign w:val="center"/>
          </w:tcPr>
          <w:p w14:paraId="3CD50004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>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烤房数智化管理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平台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WEB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端）</w:t>
            </w:r>
          </w:p>
        </w:tc>
        <w:tc>
          <w:tcPr>
            <w:tcW w:w="2133" w:type="pct"/>
            <w:shd w:val="clear"/>
            <w:vAlign w:val="center"/>
          </w:tcPr>
          <w:p w14:paraId="3AB4171B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实现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WEB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端烤房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数智化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管理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采用HTML、JavaScript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开发，提供烤房档案管理、维修管理、人员管理、评价管理、智能分析、烤房分配、烤房新建决策等功能。</w:t>
            </w:r>
          </w:p>
          <w:p w14:paraId="7471795E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1）管理功能包括维护烤房信息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、预约和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维修工单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，实现烤房档案查询、状态跟踪、维修进度管理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</w:t>
            </w:r>
          </w:p>
          <w:p w14:paraId="6D167566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2）分析功能主要提供烤房健康评分、剩余寿命预测、维修优先级、维修资金分配、烤房分配和新建选址分析；支持按县、市、乡镇、村筛选和查看明细。</w:t>
            </w:r>
          </w:p>
          <w:p w14:paraId="63F53CE4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3）新建决策功能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通过沙盘演练计算千亩村的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村发展指数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从而给出烤房新建在哪个千亩村的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优先级；支持候选村选择、拟新建烤房数量调整，并实时展示新建前后烤房数量、供需能力、发展指数及关键指标变化。</w:t>
            </w:r>
          </w:p>
          <w:p w14:paraId="1F0F8AF8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4）地图与可视化主要调用高德地图API展示烤房、村级候选点和行政区范围，结合ECharts展示健康等级、寿命分布、维修优先级、资金分配和村发展指数等图表。</w:t>
            </w:r>
          </w:p>
          <w:p w14:paraId="32109451">
            <w:pPr>
              <w:adjustRightInd w:val="0"/>
              <w:snapToGrid w:val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分析模块读取数据库形成指标，模型算法输出预测和评分结果，结果回写数据库后由Web端、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小程序端、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BI大屏和AI助手统一展示。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访问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入口地址（admin/admin123）</w:t>
            </w:r>
            <w:bookmarkStart w:id="2" w:name="_GoBack"/>
            <w:bookmarkEnd w:id="2"/>
            <w:r>
              <w:rPr>
                <w:rFonts w:hint="eastAsia" w:ascii="宋体" w:hAnsi="宋体" w:eastAsia="宋体" w:cs="宋体"/>
                <w:sz w:val="24"/>
                <w:szCs w:val="24"/>
              </w:rPr>
              <w:t>：</w:t>
            </w:r>
          </w:p>
          <w:p w14:paraId="3EEA6D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Style w:val="6"/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FF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Style w:val="6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FF"/>
                <w:sz w:val="24"/>
                <w:szCs w:val="24"/>
                <w:lang w:val="en-US" w:eastAsia="zh-CN"/>
              </w:rPr>
              <w:instrText xml:space="preserve"> HYPERLINK "http://10.69.138.86:5000/" </w:instrText>
            </w:r>
            <w:r>
              <w:rPr>
                <w:rStyle w:val="6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FF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6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FF"/>
                <w:sz w:val="24"/>
                <w:szCs w:val="24"/>
                <w:lang w:val="en-US" w:eastAsia="zh-CN"/>
              </w:rPr>
              <w:t>http://10.69.138.86:5000/</w:t>
            </w:r>
            <w:r>
              <w:rPr>
                <w:rStyle w:val="6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FF"/>
                <w:sz w:val="24"/>
                <w:szCs w:val="24"/>
                <w:lang w:val="en-US" w:eastAsia="zh-CN"/>
              </w:rPr>
              <w:fldChar w:fldCharType="end"/>
            </w:r>
          </w:p>
        </w:tc>
      </w:tr>
      <w:tr w14:paraId="37AF8F94">
        <w:trPr>
          <w:trHeight w:val="23" w:hRule="atLeast"/>
          <w:jc w:val="center"/>
        </w:trPr>
        <w:tc>
          <w:tcPr>
            <w:tcW w:w="605" w:type="pct"/>
          </w:tcPr>
          <w:p w14:paraId="1B9E46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72" w:type="pct"/>
            <w:shd w:val="clear"/>
            <w:vAlign w:val="center"/>
          </w:tcPr>
          <w:p w14:paraId="1038DF96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自建接口程序</w:t>
            </w:r>
          </w:p>
        </w:tc>
        <w:tc>
          <w:tcPr>
            <w:tcW w:w="1387" w:type="pct"/>
            <w:shd w:val="clear"/>
            <w:vAlign w:val="center"/>
          </w:tcPr>
          <w:p w14:paraId="56191CB2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. AI助手对接接口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地图服务对接</w:t>
            </w:r>
          </w:p>
        </w:tc>
        <w:tc>
          <w:tcPr>
            <w:tcW w:w="2133" w:type="pct"/>
            <w:shd w:val="clear"/>
            <w:vAlign w:val="center"/>
          </w:tcPr>
          <w:p w14:paraId="51F99476">
            <w:pPr>
              <w:adjustRightInd w:val="0"/>
              <w:snapToGrid w:val="0"/>
              <w:jc w:val="left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该接口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为AI助手提供烤房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信息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查询，如烤房档案、分析指标、模型结果和业务规则查询能力，支持根据用户问题返回烤房健康、寿命、维修、新建选址和村发展指数等相关信息。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：</w:t>
            </w:r>
            <w:r>
              <w:rPr>
                <w:rStyle w:val="6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FF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Style w:val="6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FF"/>
                <w:sz w:val="24"/>
                <w:szCs w:val="24"/>
                <w:lang w:val="en-US" w:eastAsia="zh-CN"/>
              </w:rPr>
              <w:instrText xml:space="preserve"> HYPERLINK "http://10.69.156.8/chat/aJoK4NAwE99zz7GE" </w:instrText>
            </w:r>
            <w:r>
              <w:rPr>
                <w:rStyle w:val="6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FF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6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FF"/>
                <w:sz w:val="24"/>
                <w:szCs w:val="24"/>
                <w:lang w:val="en-US" w:eastAsia="zh-CN"/>
              </w:rPr>
              <w:t>http://10.69.156.8/chat/aJoK4NAwE99zz7GE</w:t>
            </w:r>
            <w:r>
              <w:rPr>
                <w:rStyle w:val="6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FF"/>
                <w:sz w:val="24"/>
                <w:szCs w:val="24"/>
                <w:lang w:val="en-US" w:eastAsia="zh-CN"/>
              </w:rPr>
              <w:fldChar w:fldCharType="end"/>
            </w:r>
          </w:p>
          <w:p w14:paraId="524E837D">
            <w:pPr>
              <w:adjustRightInd w:val="0"/>
              <w:snapToGrid w:val="0"/>
              <w:jc w:val="left"/>
              <w:rPr>
                <w:rFonts w:hint="eastAsia"/>
              </w:rPr>
            </w:pPr>
          </w:p>
          <w:p w14:paraId="5C93CE6F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该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接口通过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调用高德地图标准瓦片服务，在系统地图中完成省、市、县、乡镇、村级位置定位，并展示烤房点位、候选村位置和新建候选点。</w:t>
            </w:r>
          </w:p>
        </w:tc>
      </w:tr>
      <w:tr w14:paraId="01341DDE">
        <w:trPr>
          <w:trHeight w:val="735" w:hRule="atLeast"/>
          <w:jc w:val="center"/>
        </w:trPr>
        <w:tc>
          <w:tcPr>
            <w:tcW w:w="605" w:type="pct"/>
            <w:vMerge w:val="restart"/>
            <w:vAlign w:val="center"/>
          </w:tcPr>
          <w:p w14:paraId="177DBE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18"/>
                <w:szCs w:val="24"/>
                <w:lang w:val="en-US" w:eastAsia="zh-CN"/>
              </w:rPr>
              <w:t>微信小程序</w:t>
            </w:r>
          </w:p>
        </w:tc>
        <w:tc>
          <w:tcPr>
            <w:tcW w:w="872" w:type="pct"/>
            <w:vAlign w:val="center"/>
          </w:tcPr>
          <w:p>
            <w:r>
              <w:rPr>
                <w:sz w:val="18"/>
              </w:rPr>
              <w:t>应用</w:t>
            </w:r>
          </w:p>
        </w:tc>
        <w:tc>
          <w:tcPr>
            <w:tcW w:w="1387" w:type="pct"/>
            <w:vAlign w:val="center"/>
          </w:tcPr>
          <w:p>
            <w:r>
              <w:rPr>
                <w:sz w:val="18"/>
              </w:rPr>
              <w:t>烤房服务平台微信小程序</w:t>
            </w:r>
          </w:p>
        </w:tc>
        <w:tc>
          <w:tcPr>
            <w:tcW w:w="2133" w:type="pct"/>
            <w:vAlign w:val="center"/>
          </w:tcPr>
          <w:p>
            <w:r>
              <w:rPr>
                <w:sz w:val="18"/>
              </w:rPr>
              <w:t>1. 烤房服务平台微信小程序</w:t>
              <w:br/>
              <w:br/>
              <w:t>2. 登录与身份确认：支持协议及隐私政策阅读、微信隐私保护授权、账号密码登录，登录后展示用户身份、信用等级和信用分。</w:t>
              <w:br/>
              <w:br/>
              <w:t>3. 首页总览：展示种植面积、种植年限、累计烘烤次数、我的烤房、评价反馈、种植档案、联系技术员、当前使用概览等信息。</w:t>
              <w:br/>
              <w:br/>
              <w:t>4. 烤房查询与详情：支持查看烤房编号、使用状态、位置、距离、健康度、温湿度监测曲线、烘烤师信息、联系电话和历史使用记录。</w:t>
              <w:br/>
              <w:br/>
              <w:t>5. 烤房预约：支持按使用日期查询可用烤房，按照综合、常用、距离、健康度和是否有烘烤师进行筛选，也支持按烤房编号、地址、磅组或烘烤师搜索；提交预约后进入待确认状态。</w:t>
              <w:br/>
              <w:br/>
              <w:t>6. 现场报修：基于微信定位展示附近烤房，要求用户处于烤房50米范围内才能提交维修申请；支持选择故障类型、填写故障描述、预约上门时间，并展示工单处理进度。</w:t>
              <w:br/>
              <w:br/>
              <w:t>7. 评价反馈：对烘烤服务进行总体评分、烘烤师评分、温湿度控制评分和设备完好度评分，支持标签和文字评价，形成“预约使用—服务—评价反馈”闭环。</w:t>
              <w:br/>
              <w:br/>
              <w:t>8. 个人中心：展示用户联系方式、所属烟区、所属磅组、种植面积、种植年限、累计烘烤次数和历年种植档案。入口地址：待补充。</w:t>
            </w:r>
          </w:p>
        </w:tc>
      </w:tr>
      <w:tr w14:paraId="2060A340">
        <w:trPr>
          <w:trHeight w:val="1823" w:hRule="atLeast"/>
          <w:jc w:val="center"/>
        </w:trPr>
        <w:tc>
          <w:tcPr>
            <w:tcW w:w="605" w:type="pct"/>
            <w:vMerge w:val="continue"/>
            <w:vAlign w:val="center"/>
          </w:tcPr>
          <w:p w14:paraId="3DD92E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72" w:type="pct"/>
            <w:vAlign w:val="center"/>
          </w:tcPr>
          <w:p>
            <w:r>
              <w:rPr>
                <w:sz w:val="18"/>
              </w:rPr>
              <w:t>业务流程</w:t>
            </w:r>
          </w:p>
        </w:tc>
        <w:tc>
          <w:tcPr>
            <w:tcW w:w="1387" w:type="pct"/>
            <w:vAlign w:val="center"/>
          </w:tcPr>
          <w:p>
            <w:r>
              <w:rPr>
                <w:sz w:val="18"/>
              </w:rPr>
              <w:t>烤房服务平台微信小程序</w:t>
            </w:r>
          </w:p>
        </w:tc>
        <w:tc>
          <w:tcPr>
            <w:tcW w:w="2133" w:type="pct"/>
            <w:vAlign w:val="center"/>
          </w:tcPr>
          <w:p>
            <w:r>
              <w:rPr>
                <w:sz w:val="18"/>
              </w:rPr>
              <w:t>1. 用户登录后，系统读取用户身份和生产档案，并根据用户所属区域查询可用烤房。</w:t>
              <w:br/>
              <w:br/>
              <w:t>2. 用户选择使用日期后，小程序调用预约查询接口，返回可用烤房、距离、健康度、烘烤师和当前预约人数。</w:t>
              <w:br/>
              <w:br/>
              <w:t>3. 用户提交预约后，系统保存预约记录并进入管理员确认流程；使用结束后，记录转入待评价状态。</w:t>
              <w:br/>
              <w:br/>
              <w:t>4. 用户现场报修时，微信小程序获取当前位置，服务端再次校验用户与烤房的距离，校验通过后生成维修工单。</w:t>
              <w:br/>
              <w:br/>
              <w:t>5. 技术员处理工单后，小程序按时间线展示已提报、已接单、维修中、已完成、已驳回或已取消等状态。</w:t>
              <w:br/>
              <w:br/>
              <w:t>6. 小程序产生的预约、维修和评价数据同步至后台数据库，为Web端烤房管理、维修分析、服务评价和BI大屏提供数据。</w:t>
            </w:r>
          </w:p>
        </w:tc>
      </w:tr>
      <w:tr w14:paraId="3B68578B">
        <w:trPr>
          <w:trHeight w:val="1098" w:hRule="atLeast"/>
          <w:jc w:val="center"/>
        </w:trPr>
        <w:tc>
          <w:tcPr>
            <w:tcW w:w="605" w:type="pct"/>
            <w:vMerge w:val="continue"/>
            <w:vAlign w:val="center"/>
          </w:tcPr>
          <w:p w14:paraId="2CF4A3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72" w:type="pct"/>
            <w:vAlign w:val="center"/>
          </w:tcPr>
          <w:p>
            <w:r>
              <w:rPr>
                <w:sz w:val="18"/>
              </w:rPr>
              <w:t>接口与数据关联</w:t>
            </w:r>
          </w:p>
        </w:tc>
        <w:tc>
          <w:tcPr>
            <w:tcW w:w="1387" w:type="pct"/>
            <w:vAlign w:val="center"/>
          </w:tcPr>
          <w:p>
            <w:r>
              <w:rPr>
                <w:sz w:val="18"/>
              </w:rPr>
              <w:t>烤房服务平台微信小程序</w:t>
            </w:r>
          </w:p>
        </w:tc>
        <w:tc>
          <w:tcPr>
            <w:tcW w:w="2133" w:type="pct"/>
            <w:vAlign w:val="center"/>
          </w:tcPr>
          <w:p>
            <w:r>
              <w:rPr>
                <w:sz w:val="18"/>
              </w:rPr>
              <w:t>1. 烤房查询接口：读取烤房档案、设备状态、健康度、位置、温湿度、烘烤师和使用历史。</w:t>
              <w:br/>
              <w:br/>
              <w:t>2. 预约管理接口：提供可用烤房查询、预约提交、当前预约、历史预约和预约取消功能。</w:t>
              <w:br/>
              <w:br/>
              <w:t>3. 维修管理接口：提供附近烤房查询、维修工单提交、定位校验、维修进度查询和技术员联系功能。</w:t>
              <w:br/>
              <w:br/>
              <w:t>4. 评价反馈接口：保存总体评分、烘烤师评分、温湿度控制评分、设备完好度评分、标签和文字评价。</w:t>
              <w:br/>
              <w:br/>
              <w:t>5. 数据关联：小程序通过烤房编号、用户编号、预约编号和维修工单号关联业务数据；预约记录连接烤房档案和用户档案，维修记录连接烤房档案、故障信息和技术员，评价记录连接预约记录和服务人员。相关接口地址：待补充。</w:t>
            </w:r>
          </w:p>
        </w:tc>
      </w:tr>
      <w:tr w14:paraId="5DC5EB4A">
        <w:trPr>
          <w:trHeight w:val="745" w:hRule="atLeast"/>
          <w:jc w:val="center"/>
        </w:trPr>
        <w:tc>
          <w:tcPr>
            <w:tcW w:w="605" w:type="pct"/>
            <w:vAlign w:val="center"/>
          </w:tcPr>
          <w:p w14:paraId="780FEF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算法模型</w:t>
            </w:r>
          </w:p>
        </w:tc>
        <w:tc>
          <w:tcPr>
            <w:tcW w:w="872" w:type="pct"/>
            <w:vAlign w:val="center"/>
          </w:tcPr>
          <w:p w14:paraId="2F0E99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类别</w:t>
            </w:r>
          </w:p>
        </w:tc>
        <w:tc>
          <w:tcPr>
            <w:tcW w:w="1387" w:type="pct"/>
            <w:vAlign w:val="center"/>
          </w:tcPr>
          <w:p w14:paraId="11B709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烤房健康评估模型</w:t>
            </w:r>
          </w:p>
          <w:p w14:paraId="40A639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烤房新建决策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模型</w:t>
            </w:r>
          </w:p>
        </w:tc>
        <w:tc>
          <w:tcPr>
            <w:tcW w:w="2133" w:type="pct"/>
            <w:vAlign w:val="center"/>
          </w:tcPr>
          <w:p w14:paraId="7B8EB5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该模型包括烤房健康分评估算法以及剩余寿命预测算法，对烤房四大部位十八大部件打健康分，并分等级预警；对其换算剩余寿命，预测需要维修年限，提前预测预警提示。</w:t>
            </w:r>
          </w:p>
          <w:p w14:paraId="7EE24B5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2.该模型通过通过沙盘演练计算千亩村的村发展指数，从而给出烤房新建在哪个千亩村的优先级等决策方案。</w:t>
            </w:r>
          </w:p>
        </w:tc>
      </w:tr>
    </w:tbl>
    <w:p w14:paraId="2DD66F90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06B30197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08045E91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left"/>
        <w:rPr>
          <w:rFonts w:hint="eastAsia" w:ascii="黑体" w:hAnsi="黑体" w:eastAsia="黑体" w:cs="黑体"/>
          <w:sz w:val="30"/>
          <w:szCs w:val="30"/>
        </w:rPr>
      </w:pPr>
    </w:p>
    <w:p w14:paraId="69F1D17D">
      <w:pPr>
        <w:ind w:left="0" w:leftChars="0" w:firstLine="0" w:firstLineChars="0"/>
      </w:pPr>
    </w:p>
    <w:p w14:paraId="004ABA5A">
      <w:pPr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方正楷体">
    <w:altName w:val="楷体_GB2312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仿宋">
    <w:altName w:val="仿宋-简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">
    <w:altName w:val="仿宋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黑体">
    <w:altName w:val="汉仪中黑KW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761803"/>
    <w:multiLevelType w:val="singleLevel"/>
    <w:tmpl w:val="8C76180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46FD834"/>
    <w:multiLevelType w:val="singleLevel"/>
    <w:tmpl w:val="946FD83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9805526D"/>
    <w:multiLevelType w:val="singleLevel"/>
    <w:tmpl w:val="9805526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47A7978"/>
    <w:multiLevelType w:val="multilevel"/>
    <w:tmpl w:val="F47A7978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4">
    <w:nsid w:val="FDFCE558"/>
    <w:multiLevelType w:val="multilevel"/>
    <w:tmpl w:val="FDFCE558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5">
    <w:nsid w:val="1FDF56A9"/>
    <w:multiLevelType w:val="multilevel"/>
    <w:tmpl w:val="1FDF56A9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6">
    <w:nsid w:val="3A1A9259"/>
    <w:multiLevelType w:val="singleLevel"/>
    <w:tmpl w:val="3A1A925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3FBC3C72"/>
    <w:multiLevelType w:val="singleLevel"/>
    <w:tmpl w:val="3FBC3C7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4DC946E7"/>
    <w:multiLevelType w:val="singleLevel"/>
    <w:tmpl w:val="4DC946E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549B2F16"/>
    <w:multiLevelType w:val="singleLevel"/>
    <w:tmpl w:val="549B2F1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5AFF8388"/>
    <w:multiLevelType w:val="singleLevel"/>
    <w:tmpl w:val="5AFF838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6B489C9A"/>
    <w:multiLevelType w:val="singleLevel"/>
    <w:tmpl w:val="6B489C9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9"/>
  </w:num>
  <w:num w:numId="5">
    <w:abstractNumId w:val="10"/>
  </w:num>
  <w:num w:numId="6">
    <w:abstractNumId w:val="8"/>
  </w:num>
  <w:num w:numId="7">
    <w:abstractNumId w:val="7"/>
  </w:num>
  <w:num w:numId="8">
    <w:abstractNumId w:val="11"/>
  </w:num>
  <w:num w:numId="9">
    <w:abstractNumId w:val="0"/>
  </w:num>
  <w:num w:numId="10">
    <w:abstractNumId w:val="6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g1ZDYzZTY5ZjA4N2M0NWM2ODNlZDYwNGYwMGNlNTQifQ=="/>
  </w:docVars>
  <w:rsids>
    <w:rsidRoot w:val="00000000"/>
    <w:rsid w:val="075EC418"/>
    <w:rsid w:val="0FFFD279"/>
    <w:rsid w:val="13FBFEF7"/>
    <w:rsid w:val="1BC434B3"/>
    <w:rsid w:val="236627C2"/>
    <w:rsid w:val="27777F81"/>
    <w:rsid w:val="2D532C05"/>
    <w:rsid w:val="2DFBDD90"/>
    <w:rsid w:val="2E080AD4"/>
    <w:rsid w:val="2F7C1108"/>
    <w:rsid w:val="2FF959EE"/>
    <w:rsid w:val="31A96915"/>
    <w:rsid w:val="34E769B5"/>
    <w:rsid w:val="37EB03DF"/>
    <w:rsid w:val="399E32FB"/>
    <w:rsid w:val="3ACEC1E3"/>
    <w:rsid w:val="3AFFCB9E"/>
    <w:rsid w:val="3BF7E4B9"/>
    <w:rsid w:val="3C7F577E"/>
    <w:rsid w:val="3DBD5A8E"/>
    <w:rsid w:val="3DE13529"/>
    <w:rsid w:val="3DE692DA"/>
    <w:rsid w:val="3DF73A47"/>
    <w:rsid w:val="3EF90C18"/>
    <w:rsid w:val="47F76527"/>
    <w:rsid w:val="48666B7D"/>
    <w:rsid w:val="4E4433A0"/>
    <w:rsid w:val="4FBF2308"/>
    <w:rsid w:val="4FFFF303"/>
    <w:rsid w:val="53DB2EBC"/>
    <w:rsid w:val="53F7E2BE"/>
    <w:rsid w:val="53FEE7D1"/>
    <w:rsid w:val="54FFD272"/>
    <w:rsid w:val="55EFD517"/>
    <w:rsid w:val="562BFD3F"/>
    <w:rsid w:val="576355D9"/>
    <w:rsid w:val="5ED27294"/>
    <w:rsid w:val="5F46F4C6"/>
    <w:rsid w:val="5F6E4C02"/>
    <w:rsid w:val="607DE416"/>
    <w:rsid w:val="64E33841"/>
    <w:rsid w:val="677E58AA"/>
    <w:rsid w:val="678F4479"/>
    <w:rsid w:val="67D63172"/>
    <w:rsid w:val="689767A2"/>
    <w:rsid w:val="6B5F1AE6"/>
    <w:rsid w:val="6CFB5835"/>
    <w:rsid w:val="6CFD919A"/>
    <w:rsid w:val="6EDFFA75"/>
    <w:rsid w:val="6EF7DB73"/>
    <w:rsid w:val="6EFF3698"/>
    <w:rsid w:val="6EFF9B3B"/>
    <w:rsid w:val="6F4E5499"/>
    <w:rsid w:val="6F7F7B52"/>
    <w:rsid w:val="6FDD598D"/>
    <w:rsid w:val="6FDF68B0"/>
    <w:rsid w:val="6FEB0213"/>
    <w:rsid w:val="6FF7A7F2"/>
    <w:rsid w:val="6FF9C232"/>
    <w:rsid w:val="7377C21A"/>
    <w:rsid w:val="73D44204"/>
    <w:rsid w:val="73FEE03F"/>
    <w:rsid w:val="753C6EA5"/>
    <w:rsid w:val="75B52186"/>
    <w:rsid w:val="765F5D7F"/>
    <w:rsid w:val="76FBAD40"/>
    <w:rsid w:val="772B0DC2"/>
    <w:rsid w:val="77761F99"/>
    <w:rsid w:val="777D51DF"/>
    <w:rsid w:val="77BBE1EC"/>
    <w:rsid w:val="7A1B4F0A"/>
    <w:rsid w:val="7A764B27"/>
    <w:rsid w:val="7ADFB1E0"/>
    <w:rsid w:val="7B72B224"/>
    <w:rsid w:val="7B89F4B7"/>
    <w:rsid w:val="7BADFED5"/>
    <w:rsid w:val="7BD5E19A"/>
    <w:rsid w:val="7BF37CD3"/>
    <w:rsid w:val="7BFB42CB"/>
    <w:rsid w:val="7D1F86C7"/>
    <w:rsid w:val="7D36E695"/>
    <w:rsid w:val="7DAD801E"/>
    <w:rsid w:val="7E3BC399"/>
    <w:rsid w:val="7E7E5BCE"/>
    <w:rsid w:val="7EAF9B3F"/>
    <w:rsid w:val="7EB37038"/>
    <w:rsid w:val="7EBF60DB"/>
    <w:rsid w:val="7ED269AA"/>
    <w:rsid w:val="7EFF19C1"/>
    <w:rsid w:val="7F3FE1F0"/>
    <w:rsid w:val="7F4EDD8F"/>
    <w:rsid w:val="7F57DDA1"/>
    <w:rsid w:val="7FAF10C7"/>
    <w:rsid w:val="7FB7965B"/>
    <w:rsid w:val="7FBB7EDF"/>
    <w:rsid w:val="7FBFE4C7"/>
    <w:rsid w:val="7FD7E2E4"/>
    <w:rsid w:val="7FF0548E"/>
    <w:rsid w:val="7FF6BCB5"/>
    <w:rsid w:val="7FFBD517"/>
    <w:rsid w:val="7FFBE2CD"/>
    <w:rsid w:val="7FFD070D"/>
    <w:rsid w:val="7FFE4CCE"/>
    <w:rsid w:val="8FED310A"/>
    <w:rsid w:val="97DAAB4A"/>
    <w:rsid w:val="9DCA47EB"/>
    <w:rsid w:val="9EF549E6"/>
    <w:rsid w:val="A7F7286F"/>
    <w:rsid w:val="A7FB38AC"/>
    <w:rsid w:val="AB7F6079"/>
    <w:rsid w:val="AEFF960A"/>
    <w:rsid w:val="B7FF47C8"/>
    <w:rsid w:val="BBD430C4"/>
    <w:rsid w:val="BDBCC83F"/>
    <w:rsid w:val="BDDB05C8"/>
    <w:rsid w:val="BF5F796C"/>
    <w:rsid w:val="BFDB44F2"/>
    <w:rsid w:val="BFDBC950"/>
    <w:rsid w:val="BFFD0544"/>
    <w:rsid w:val="BFFFA2DA"/>
    <w:rsid w:val="C7FE769F"/>
    <w:rsid w:val="D31B944F"/>
    <w:rsid w:val="D7BDE29C"/>
    <w:rsid w:val="DABD30B5"/>
    <w:rsid w:val="DAFF5099"/>
    <w:rsid w:val="DBC3388C"/>
    <w:rsid w:val="DBD8D48A"/>
    <w:rsid w:val="DD698B27"/>
    <w:rsid w:val="DDC47355"/>
    <w:rsid w:val="DEE7ADAA"/>
    <w:rsid w:val="DEF7B554"/>
    <w:rsid w:val="DFAB7205"/>
    <w:rsid w:val="DFBB678D"/>
    <w:rsid w:val="E5FE67F4"/>
    <w:rsid w:val="E8F7A3D4"/>
    <w:rsid w:val="EB65BA96"/>
    <w:rsid w:val="EBBF9EA3"/>
    <w:rsid w:val="EBF996EA"/>
    <w:rsid w:val="ECE39F46"/>
    <w:rsid w:val="EDF76E97"/>
    <w:rsid w:val="EDFEF03B"/>
    <w:rsid w:val="EEADF085"/>
    <w:rsid w:val="EF4F7445"/>
    <w:rsid w:val="EFA59DDB"/>
    <w:rsid w:val="EFB7F24A"/>
    <w:rsid w:val="EFEAA150"/>
    <w:rsid w:val="F3FFA279"/>
    <w:rsid w:val="F4FF2180"/>
    <w:rsid w:val="F575CCF3"/>
    <w:rsid w:val="F77E0A3C"/>
    <w:rsid w:val="F7CDDE06"/>
    <w:rsid w:val="F97FE931"/>
    <w:rsid w:val="FAD22D56"/>
    <w:rsid w:val="FAD518A8"/>
    <w:rsid w:val="FAF70D28"/>
    <w:rsid w:val="FB67D729"/>
    <w:rsid w:val="FBD9004D"/>
    <w:rsid w:val="FBFB025E"/>
    <w:rsid w:val="FC7F97EB"/>
    <w:rsid w:val="FCBF0428"/>
    <w:rsid w:val="FD5FBAD7"/>
    <w:rsid w:val="FDBF785F"/>
    <w:rsid w:val="FDF464E9"/>
    <w:rsid w:val="FDFB2BF8"/>
    <w:rsid w:val="FED895EF"/>
    <w:rsid w:val="FEF96464"/>
    <w:rsid w:val="FF47816B"/>
    <w:rsid w:val="FF4F2B78"/>
    <w:rsid w:val="FF6773FF"/>
    <w:rsid w:val="FF6FC03F"/>
    <w:rsid w:val="FF75AE5B"/>
    <w:rsid w:val="FFD3FDEB"/>
    <w:rsid w:val="FFEF010C"/>
    <w:rsid w:val="FFEF0FBF"/>
    <w:rsid w:val="FFFE23AC"/>
    <w:rsid w:val="FFFFB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iPriority="59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560" w:lineRule="exact"/>
      <w:outlineLvl w:val="0"/>
    </w:pPr>
    <w:rPr>
      <w:rFonts w:eastAsia="黑体" w:asciiTheme="minorAscii" w:hAnsiTheme="minorAscii"/>
      <w:kern w:val="44"/>
      <w:sz w:val="32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autoRedefine/>
    <w:semiHidden/>
    <w:unhideWhenUsed/>
    <w:qFormat/>
    <w:uiPriority w:val="59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1</Lines>
  <Paragraphs>1</Paragraphs>
  <TotalTime>161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2024-06-11T08:28:00Z</dcterms:created>
  <dc:creator>jiang</dc:creator>
  <cp:lastModifiedBy>上善若水</cp:lastModifiedBy>
  <dcterms:modified xsi:type="dcterms:W3CDTF">2026-09-08T08:30:47Z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E32B78160C8A43B18F7795F39872E6D6_12</vt:lpwstr>
  </property>
  <property fmtid="{D5CDD505-2E9C-101B-9397-08002B2CF9AE}" pid="4" name="KSOTemplateDocerSaveRecord">
    <vt:lpwstr>eyJoZGlkIjoiMDdhY2VkMjQ2ZmJmNmZkN2NjOGIwODAzZTNhNjAzNGYiLCJ1c2VySWQiOiIxMjA4MDY4MTIzIn0=</vt:lpwstr>
  </property>
</Properties>
</file>