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42B42F"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540" w:lineRule="exact"/>
        <w:jc w:val="left"/>
        <w:rPr>
          <w:rFonts w:hint="eastAsia" w:ascii="黑体" w:hAnsi="黑体" w:eastAsia="黑体"/>
          <w:sz w:val="32"/>
          <w:szCs w:val="32"/>
          <w:lang w:val="en-US" w:eastAsia="zh-CN"/>
        </w:rPr>
      </w:pPr>
      <w:r>
        <w:rPr>
          <w:rFonts w:hint="eastAsia" w:ascii="黑体" w:hAnsi="黑体" w:eastAsia="黑体"/>
          <w:sz w:val="32"/>
          <w:szCs w:val="32"/>
        </w:rPr>
        <w:t>附件</w:t>
      </w:r>
      <w:r>
        <w:rPr>
          <w:rFonts w:hint="eastAsia" w:ascii="黑体" w:hAnsi="黑体" w:eastAsia="黑体"/>
          <w:sz w:val="32"/>
          <w:szCs w:val="32"/>
          <w:lang w:val="en-US" w:eastAsia="zh-CN"/>
        </w:rPr>
        <w:t>3</w:t>
      </w:r>
    </w:p>
    <w:p w14:paraId="00A0C2C5"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540" w:lineRule="exact"/>
        <w:jc w:val="left"/>
        <w:rPr>
          <w:rFonts w:hint="eastAsia" w:ascii="黑体" w:hAnsi="黑体" w:eastAsia="黑体"/>
          <w:sz w:val="32"/>
          <w:szCs w:val="32"/>
          <w:lang w:val="en-US" w:eastAsia="zh-CN"/>
        </w:rPr>
      </w:pPr>
    </w:p>
    <w:p w14:paraId="3A383F23"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540" w:lineRule="exact"/>
        <w:jc w:val="left"/>
        <w:rPr>
          <w:rFonts w:hint="eastAsia" w:ascii="黑体" w:hAnsi="黑体" w:eastAsia="黑体"/>
          <w:sz w:val="32"/>
          <w:szCs w:val="32"/>
          <w:lang w:val="en-US" w:eastAsia="zh-CN"/>
        </w:rPr>
      </w:pPr>
    </w:p>
    <w:p w14:paraId="64AC55D2">
      <w:pPr>
        <w:keepNext w:val="0"/>
        <w:keepLines w:val="0"/>
        <w:pageBreakBefore w:val="0"/>
        <w:kinsoku/>
        <w:wordWrap/>
        <w:overflowPunct/>
        <w:topLinePunct w:val="0"/>
        <w:bidi w:val="0"/>
        <w:adjustRightInd w:val="0"/>
        <w:snapToGrid w:val="0"/>
        <w:spacing w:line="540" w:lineRule="exact"/>
        <w:jc w:val="center"/>
        <w:rPr>
          <w:rFonts w:hAnsi="方正小标宋简体" w:eastAsia="方正小标宋简体"/>
          <w:sz w:val="44"/>
          <w:szCs w:val="44"/>
        </w:rPr>
      </w:pPr>
    </w:p>
    <w:p w14:paraId="502AC36C">
      <w:pPr>
        <w:keepNext w:val="0"/>
        <w:keepLines w:val="0"/>
        <w:pageBreakBefore w:val="0"/>
        <w:kinsoku/>
        <w:wordWrap/>
        <w:overflowPunct/>
        <w:topLinePunct w:val="0"/>
        <w:bidi w:val="0"/>
        <w:adjustRightInd w:val="0"/>
        <w:snapToGrid w:val="0"/>
        <w:spacing w:line="540" w:lineRule="exact"/>
        <w:jc w:val="center"/>
        <w:rPr>
          <w:rFonts w:hAnsi="方正小标宋简体" w:eastAsia="方正小标宋简体"/>
          <w:sz w:val="44"/>
          <w:szCs w:val="44"/>
        </w:rPr>
      </w:pPr>
      <w:r>
        <w:rPr>
          <w:rFonts w:hAnsi="方正小标宋简体" w:eastAsia="方正小标宋简体"/>
          <w:sz w:val="44"/>
          <w:szCs w:val="44"/>
        </w:rPr>
        <w:t>2025年数字化转型创客大赛</w:t>
      </w:r>
    </w:p>
    <w:p w14:paraId="216EE576">
      <w:pPr>
        <w:keepNext w:val="0"/>
        <w:keepLines w:val="0"/>
        <w:pageBreakBefore w:val="0"/>
        <w:kinsoku/>
        <w:wordWrap/>
        <w:overflowPunct/>
        <w:topLinePunct w:val="0"/>
        <w:bidi w:val="0"/>
        <w:adjustRightInd w:val="0"/>
        <w:snapToGrid w:val="0"/>
        <w:spacing w:line="540" w:lineRule="exact"/>
        <w:jc w:val="center"/>
        <w:rPr>
          <w:rFonts w:ascii="方正小标宋简体" w:hAnsi="华文中宋" w:eastAsia="方正小标宋简体"/>
          <w:sz w:val="44"/>
          <w:szCs w:val="44"/>
        </w:rPr>
      </w:pPr>
      <w:r>
        <w:rPr>
          <w:rFonts w:hint="eastAsia" w:ascii="方正小标宋简体" w:hAnsi="华文中宋" w:eastAsia="方正小标宋简体"/>
          <w:sz w:val="44"/>
          <w:szCs w:val="44"/>
        </w:rPr>
        <w:t>成果技术资料说明书</w:t>
      </w:r>
    </w:p>
    <w:p w14:paraId="0D95585F">
      <w:pPr>
        <w:keepNext w:val="0"/>
        <w:keepLines w:val="0"/>
        <w:pageBreakBefore w:val="0"/>
        <w:kinsoku/>
        <w:wordWrap/>
        <w:overflowPunct/>
        <w:topLinePunct w:val="0"/>
        <w:bidi w:val="0"/>
        <w:adjustRightInd w:val="0"/>
        <w:snapToGrid w:val="0"/>
        <w:spacing w:line="540" w:lineRule="exact"/>
        <w:rPr>
          <w:rFonts w:ascii="方正楷体" w:hAnsi="黑体" w:eastAsia="方正楷体"/>
          <w:sz w:val="30"/>
          <w:szCs w:val="30"/>
        </w:rPr>
      </w:pPr>
    </w:p>
    <w:p w14:paraId="76BCA030">
      <w:pPr>
        <w:keepNext w:val="0"/>
        <w:keepLines w:val="0"/>
        <w:pageBreakBefore w:val="0"/>
        <w:kinsoku/>
        <w:wordWrap/>
        <w:overflowPunct/>
        <w:topLinePunct w:val="0"/>
        <w:bidi w:val="0"/>
        <w:adjustRightInd w:val="0"/>
        <w:snapToGrid w:val="0"/>
        <w:spacing w:line="540" w:lineRule="exact"/>
        <w:ind w:firstLine="900" w:firstLineChars="300"/>
        <w:rPr>
          <w:rFonts w:ascii="方正楷体" w:hAnsi="黑体" w:eastAsia="方正楷体"/>
          <w:sz w:val="30"/>
          <w:szCs w:val="30"/>
        </w:rPr>
      </w:pPr>
    </w:p>
    <w:p w14:paraId="1621B90A">
      <w:pPr>
        <w:keepNext w:val="0"/>
        <w:keepLines w:val="0"/>
        <w:pageBreakBefore w:val="0"/>
        <w:kinsoku/>
        <w:wordWrap/>
        <w:overflowPunct/>
        <w:topLinePunct w:val="0"/>
        <w:bidi w:val="0"/>
        <w:adjustRightInd w:val="0"/>
        <w:snapToGrid w:val="0"/>
        <w:spacing w:line="540" w:lineRule="exact"/>
        <w:ind w:firstLine="900" w:firstLineChars="300"/>
        <w:rPr>
          <w:rFonts w:ascii="方正楷体" w:hAnsi="黑体" w:eastAsia="方正楷体"/>
          <w:sz w:val="30"/>
          <w:szCs w:val="30"/>
        </w:rPr>
      </w:pPr>
    </w:p>
    <w:p w14:paraId="7915912A">
      <w:pPr>
        <w:keepNext w:val="0"/>
        <w:keepLines w:val="0"/>
        <w:pageBreakBefore w:val="0"/>
        <w:kinsoku/>
        <w:wordWrap/>
        <w:overflowPunct/>
        <w:topLinePunct w:val="0"/>
        <w:bidi w:val="0"/>
        <w:adjustRightInd w:val="0"/>
        <w:snapToGrid w:val="0"/>
        <w:spacing w:line="540" w:lineRule="exact"/>
        <w:ind w:firstLine="900" w:firstLineChars="300"/>
        <w:rPr>
          <w:rFonts w:ascii="方正楷体" w:hAnsi="黑体" w:eastAsia="方正楷体"/>
          <w:sz w:val="30"/>
          <w:szCs w:val="30"/>
        </w:rPr>
      </w:pPr>
    </w:p>
    <w:p w14:paraId="03225BD2">
      <w:pPr>
        <w:keepNext w:val="0"/>
        <w:keepLines w:val="0"/>
        <w:pageBreakBefore w:val="0"/>
        <w:kinsoku/>
        <w:wordWrap/>
        <w:overflowPunct/>
        <w:topLinePunct w:val="0"/>
        <w:bidi w:val="0"/>
        <w:adjustRightInd w:val="0"/>
        <w:snapToGrid w:val="0"/>
        <w:spacing w:line="540" w:lineRule="exact"/>
        <w:ind w:firstLine="900" w:firstLineChars="300"/>
        <w:rPr>
          <w:rFonts w:ascii="方正楷体" w:hAnsi="黑体" w:eastAsia="方正楷体"/>
          <w:sz w:val="30"/>
          <w:szCs w:val="30"/>
        </w:rPr>
      </w:pPr>
    </w:p>
    <w:p w14:paraId="10EE4407">
      <w:pPr>
        <w:keepNext w:val="0"/>
        <w:keepLines w:val="0"/>
        <w:pageBreakBefore w:val="0"/>
        <w:kinsoku/>
        <w:wordWrap/>
        <w:overflowPunct/>
        <w:topLinePunct w:val="0"/>
        <w:bidi w:val="0"/>
        <w:adjustRightInd w:val="0"/>
        <w:snapToGrid w:val="0"/>
        <w:spacing w:line="540" w:lineRule="exact"/>
        <w:ind w:firstLine="900" w:firstLineChars="300"/>
        <w:rPr>
          <w:rFonts w:ascii="方正楷体" w:hAnsi="黑体" w:eastAsia="方正楷体"/>
          <w:sz w:val="30"/>
          <w:szCs w:val="30"/>
        </w:rPr>
      </w:pPr>
    </w:p>
    <w:p w14:paraId="2DB14FC3">
      <w:pPr>
        <w:keepNext w:val="0"/>
        <w:keepLines w:val="0"/>
        <w:pageBreakBefore w:val="0"/>
        <w:kinsoku/>
        <w:wordWrap/>
        <w:overflowPunct/>
        <w:topLinePunct w:val="0"/>
        <w:bidi w:val="0"/>
        <w:adjustRightInd w:val="0"/>
        <w:snapToGrid w:val="0"/>
        <w:spacing w:line="540" w:lineRule="exact"/>
        <w:ind w:firstLine="900" w:firstLineChars="300"/>
        <w:rPr>
          <w:rFonts w:ascii="方正楷体" w:hAnsi="黑体" w:eastAsia="方正楷体"/>
          <w:sz w:val="30"/>
          <w:szCs w:val="30"/>
        </w:rPr>
      </w:pPr>
    </w:p>
    <w:p w14:paraId="24C787A9">
      <w:pPr>
        <w:keepNext w:val="0"/>
        <w:keepLines w:val="0"/>
        <w:pageBreakBefore w:val="0"/>
        <w:kinsoku/>
        <w:wordWrap/>
        <w:overflowPunct/>
        <w:topLinePunct w:val="0"/>
        <w:bidi w:val="0"/>
        <w:adjustRightInd w:val="0"/>
        <w:snapToGrid w:val="0"/>
        <w:spacing w:line="540" w:lineRule="exact"/>
        <w:ind w:firstLine="900" w:firstLineChars="300"/>
        <w:rPr>
          <w:rFonts w:ascii="方正楷体" w:hAnsi="黑体" w:eastAsia="方正楷体"/>
          <w:sz w:val="30"/>
          <w:szCs w:val="30"/>
        </w:rPr>
      </w:pPr>
    </w:p>
    <w:p w14:paraId="7BE4F059">
      <w:pPr>
        <w:keepNext w:val="0"/>
        <w:keepLines w:val="0"/>
        <w:pageBreakBefore w:val="0"/>
        <w:kinsoku/>
        <w:wordWrap/>
        <w:overflowPunct/>
        <w:topLinePunct w:val="0"/>
        <w:bidi w:val="0"/>
        <w:adjustRightInd w:val="0"/>
        <w:snapToGrid w:val="0"/>
        <w:spacing w:line="540" w:lineRule="exact"/>
        <w:ind w:firstLine="900" w:firstLineChars="300"/>
        <w:rPr>
          <w:rFonts w:ascii="方正仿宋" w:hAnsi="黑体" w:eastAsia="方正仿宋"/>
          <w:sz w:val="30"/>
          <w:szCs w:val="30"/>
        </w:rPr>
      </w:pPr>
    </w:p>
    <w:p w14:paraId="3A9E1BD4">
      <w:pPr>
        <w:keepNext w:val="0"/>
        <w:keepLines w:val="0"/>
        <w:pageBreakBefore w:val="0"/>
        <w:kinsoku/>
        <w:wordWrap/>
        <w:overflowPunct/>
        <w:topLinePunct w:val="0"/>
        <w:bidi w:val="0"/>
        <w:adjustRightInd w:val="0"/>
        <w:snapToGrid w:val="0"/>
        <w:spacing w:line="540" w:lineRule="exact"/>
        <w:ind w:firstLine="900" w:firstLineChars="300"/>
        <w:rPr>
          <w:rFonts w:hint="default" w:ascii="方正仿宋" w:hAnsi="黑体" w:eastAsia="方正仿宋"/>
          <w:sz w:val="30"/>
          <w:szCs w:val="30"/>
          <w:u w:val="single"/>
          <w:lang w:val="en-US" w:eastAsia="zh-CN"/>
        </w:rPr>
      </w:pPr>
      <w:r>
        <w:rPr>
          <w:rFonts w:hint="eastAsia" w:ascii="方正仿宋" w:hAnsi="黑体" w:eastAsia="方正仿宋"/>
          <w:sz w:val="30"/>
          <w:szCs w:val="30"/>
        </w:rPr>
        <w:t>赛 题 名 称：</w:t>
      </w:r>
      <w:r>
        <w:rPr>
          <w:rFonts w:hint="eastAsia" w:ascii="方正仿宋" w:hAnsi="黑体" w:eastAsia="方正仿宋"/>
          <w:sz w:val="30"/>
          <w:szCs w:val="30"/>
          <w:u w:val="single"/>
        </w:rPr>
        <w:t xml:space="preserve">   </w:t>
      </w:r>
      <w:r>
        <w:rPr>
          <w:rFonts w:hint="eastAsia" w:ascii="方正仿宋" w:hAnsi="黑体" w:eastAsia="方正仿宋"/>
          <w:sz w:val="30"/>
          <w:szCs w:val="30"/>
          <w:u w:val="single"/>
          <w:lang w:val="en-US" w:eastAsia="zh-CN"/>
        </w:rPr>
        <w:t xml:space="preserve"> 数字驱动的收购预警与精准管控 </w:t>
      </w:r>
      <w:r>
        <w:rPr>
          <w:rFonts w:hint="eastAsia" w:ascii="方正仿宋" w:hAnsi="黑体" w:eastAsia="方正仿宋"/>
          <w:sz w:val="30"/>
          <w:szCs w:val="30"/>
          <w:u w:val="single"/>
        </w:rPr>
        <w:t xml:space="preserve"> </w:t>
      </w:r>
      <w:r>
        <w:rPr>
          <w:rFonts w:hint="eastAsia" w:ascii="方正仿宋" w:hAnsi="黑体" w:eastAsia="方正仿宋"/>
          <w:sz w:val="30"/>
          <w:szCs w:val="30"/>
          <w:u w:val="single"/>
          <w:lang w:val="en-US" w:eastAsia="zh-CN"/>
        </w:rPr>
        <w:t xml:space="preserve">   </w:t>
      </w:r>
    </w:p>
    <w:p w14:paraId="16F3D31B">
      <w:pPr>
        <w:keepNext w:val="0"/>
        <w:keepLines w:val="0"/>
        <w:pageBreakBefore w:val="0"/>
        <w:kinsoku/>
        <w:wordWrap/>
        <w:overflowPunct/>
        <w:topLinePunct w:val="0"/>
        <w:bidi w:val="0"/>
        <w:adjustRightInd w:val="0"/>
        <w:snapToGrid w:val="0"/>
        <w:spacing w:line="540" w:lineRule="exact"/>
        <w:ind w:firstLine="900" w:firstLineChars="300"/>
        <w:rPr>
          <w:rFonts w:ascii="方正仿宋" w:hAnsi="黑体" w:eastAsia="方正仿宋"/>
          <w:sz w:val="30"/>
          <w:szCs w:val="30"/>
        </w:rPr>
      </w:pPr>
      <w:r>
        <w:rPr>
          <w:rFonts w:hint="eastAsia" w:ascii="方正仿宋" w:hAnsi="黑体" w:eastAsia="方正仿宋"/>
          <w:sz w:val="30"/>
          <w:szCs w:val="30"/>
          <w:lang w:val="en-US" w:eastAsia="zh-CN"/>
        </w:rPr>
        <w:t>参 赛 条 线</w:t>
      </w:r>
      <w:r>
        <w:rPr>
          <w:rFonts w:hint="eastAsia" w:ascii="方正仿宋" w:hAnsi="黑体" w:eastAsia="方正仿宋"/>
          <w:sz w:val="30"/>
          <w:szCs w:val="30"/>
        </w:rPr>
        <w:t>：</w:t>
      </w:r>
      <w:r>
        <w:rPr>
          <w:rFonts w:hint="eastAsia" w:ascii="方正仿宋" w:hAnsi="黑体" w:eastAsia="方正仿宋"/>
          <w:sz w:val="30"/>
          <w:szCs w:val="30"/>
          <w:u w:val="single"/>
        </w:rPr>
        <w:t xml:space="preserve">              </w:t>
      </w:r>
      <w:r>
        <w:rPr>
          <w:rFonts w:hint="eastAsia" w:ascii="方正仿宋" w:hAnsi="黑体" w:eastAsia="方正仿宋"/>
          <w:sz w:val="30"/>
          <w:szCs w:val="30"/>
          <w:u w:val="single"/>
          <w:lang w:val="en-US" w:eastAsia="zh-CN"/>
        </w:rPr>
        <w:t>烟叶条线</w:t>
      </w:r>
      <w:r>
        <w:rPr>
          <w:rFonts w:hint="eastAsia" w:ascii="方正仿宋" w:hAnsi="黑体" w:eastAsia="方正仿宋"/>
          <w:sz w:val="30"/>
          <w:szCs w:val="30"/>
          <w:u w:val="single"/>
        </w:rPr>
        <w:t xml:space="preserve">         </w:t>
      </w:r>
      <w:r>
        <w:rPr>
          <w:rFonts w:hint="eastAsia" w:ascii="方正仿宋" w:hAnsi="黑体" w:eastAsia="方正仿宋"/>
          <w:sz w:val="30"/>
          <w:szCs w:val="30"/>
          <w:u w:val="single"/>
          <w:lang w:val="en-US" w:eastAsia="zh-CN"/>
        </w:rPr>
        <w:t xml:space="preserve">  </w:t>
      </w:r>
      <w:r>
        <w:rPr>
          <w:rFonts w:hint="eastAsia" w:ascii="方正仿宋" w:hAnsi="黑体" w:eastAsia="方正仿宋"/>
          <w:sz w:val="30"/>
          <w:szCs w:val="30"/>
          <w:u w:val="single"/>
        </w:rPr>
        <w:t xml:space="preserve">    </w:t>
      </w:r>
    </w:p>
    <w:p w14:paraId="75EE272E">
      <w:pPr>
        <w:keepNext w:val="0"/>
        <w:keepLines w:val="0"/>
        <w:pageBreakBefore w:val="0"/>
        <w:kinsoku/>
        <w:wordWrap/>
        <w:overflowPunct/>
        <w:topLinePunct w:val="0"/>
        <w:bidi w:val="0"/>
        <w:adjustRightInd w:val="0"/>
        <w:snapToGrid w:val="0"/>
        <w:spacing w:line="540" w:lineRule="exact"/>
        <w:ind w:firstLine="900" w:firstLineChars="300"/>
        <w:rPr>
          <w:rFonts w:ascii="方正仿宋" w:hAnsi="黑体" w:eastAsia="方正仿宋"/>
          <w:sz w:val="30"/>
          <w:szCs w:val="30"/>
        </w:rPr>
      </w:pPr>
      <w:r>
        <w:rPr>
          <w:rFonts w:hint="eastAsia" w:ascii="方正仿宋" w:hAnsi="黑体" w:eastAsia="方正仿宋"/>
          <w:sz w:val="30"/>
          <w:szCs w:val="30"/>
        </w:rPr>
        <w:t>参 赛 单 位：</w:t>
      </w:r>
      <w:r>
        <w:rPr>
          <w:rFonts w:hint="eastAsia" w:ascii="方正仿宋" w:hAnsi="黑体" w:eastAsia="方正仿宋"/>
          <w:sz w:val="30"/>
          <w:szCs w:val="30"/>
          <w:u w:val="single"/>
        </w:rPr>
        <w:t xml:space="preserve">  </w:t>
      </w:r>
      <w:r>
        <w:rPr>
          <w:rFonts w:hint="eastAsia" w:ascii="方正仿宋" w:hAnsi="黑体" w:eastAsia="方正仿宋"/>
          <w:sz w:val="30"/>
          <w:szCs w:val="30"/>
          <w:u w:val="single"/>
          <w:lang w:val="en-US" w:eastAsia="zh-CN"/>
        </w:rPr>
        <w:t xml:space="preserve"> </w:t>
      </w:r>
      <w:r>
        <w:rPr>
          <w:rFonts w:hint="eastAsia" w:ascii="方正仿宋" w:hAnsi="黑体" w:eastAsia="方正仿宋"/>
          <w:sz w:val="30"/>
          <w:szCs w:val="30"/>
          <w:u w:val="single"/>
        </w:rPr>
        <w:t xml:space="preserve"> 湖北省烟草公司宜昌市公司</w:t>
      </w:r>
      <w:r>
        <w:rPr>
          <w:rFonts w:hint="eastAsia" w:ascii="仿宋_GB2312" w:hAnsi="仿宋_GB2312" w:eastAsia="仿宋_GB2312" w:cs="仿宋_GB2312"/>
          <w:sz w:val="30"/>
          <w:szCs w:val="30"/>
          <w:u w:val="single"/>
        </w:rPr>
        <w:t xml:space="preserve"> （盖章）</w:t>
      </w:r>
    </w:p>
    <w:p w14:paraId="2A44584D">
      <w:pPr>
        <w:keepNext w:val="0"/>
        <w:keepLines w:val="0"/>
        <w:pageBreakBefore w:val="0"/>
        <w:kinsoku/>
        <w:wordWrap/>
        <w:overflowPunct/>
        <w:topLinePunct w:val="0"/>
        <w:bidi w:val="0"/>
        <w:adjustRightInd w:val="0"/>
        <w:snapToGrid w:val="0"/>
        <w:spacing w:line="540" w:lineRule="exact"/>
        <w:ind w:firstLine="900" w:firstLineChars="300"/>
        <w:rPr>
          <w:rFonts w:hint="eastAsia" w:ascii="仿宋_GB2312" w:hAnsi="仿宋_GB2312" w:eastAsia="仿宋_GB2312" w:cs="仿宋_GB2312"/>
          <w:sz w:val="30"/>
          <w:szCs w:val="30"/>
          <w:u w:val="single"/>
        </w:rPr>
      </w:pPr>
      <w:r>
        <w:rPr>
          <w:rFonts w:hint="eastAsia" w:ascii="方正仿宋" w:hAnsi="黑体" w:eastAsia="方正仿宋"/>
          <w:sz w:val="30"/>
          <w:szCs w:val="30"/>
        </w:rPr>
        <w:t>日       期：</w:t>
      </w:r>
      <w:r>
        <w:rPr>
          <w:rFonts w:hint="eastAsia" w:ascii="仿宋_GB2312" w:hAnsi="仿宋_GB2312" w:eastAsia="仿宋_GB2312" w:cs="仿宋_GB2312"/>
          <w:sz w:val="30"/>
          <w:szCs w:val="30"/>
          <w:u w:val="single"/>
        </w:rPr>
        <w:t xml:space="preserve">           </w:t>
      </w:r>
      <w:r>
        <w:rPr>
          <w:rFonts w:hint="eastAsia" w:ascii="方正仿宋" w:hAnsi="黑体" w:eastAsia="方正仿宋"/>
          <w:sz w:val="30"/>
          <w:szCs w:val="30"/>
          <w:u w:val="single"/>
        </w:rPr>
        <w:t xml:space="preserve">2025年9月2日 </w:t>
      </w:r>
      <w:r>
        <w:rPr>
          <w:rFonts w:hint="eastAsia" w:ascii="仿宋_GB2312" w:hAnsi="仿宋_GB2312" w:eastAsia="仿宋_GB2312" w:cs="仿宋_GB2312"/>
          <w:sz w:val="30"/>
          <w:szCs w:val="30"/>
          <w:u w:val="single"/>
        </w:rPr>
        <w:t xml:space="preserve">    </w:t>
      </w:r>
      <w:r>
        <w:rPr>
          <w:rFonts w:hint="eastAsia" w:ascii="仿宋_GB2312" w:hAnsi="仿宋_GB2312" w:eastAsia="仿宋_GB2312" w:cs="仿宋_GB2312"/>
          <w:sz w:val="30"/>
          <w:szCs w:val="30"/>
          <w:u w:val="single"/>
          <w:lang w:val="en-US" w:eastAsia="zh-CN"/>
        </w:rPr>
        <w:t xml:space="preserve">   </w:t>
      </w:r>
      <w:r>
        <w:rPr>
          <w:rFonts w:hint="eastAsia" w:ascii="仿宋_GB2312" w:hAnsi="仿宋_GB2312" w:eastAsia="仿宋_GB2312" w:cs="仿宋_GB2312"/>
          <w:sz w:val="30"/>
          <w:szCs w:val="30"/>
          <w:u w:val="single"/>
        </w:rPr>
        <w:t xml:space="preserve">    </w:t>
      </w:r>
    </w:p>
    <w:p w14:paraId="545E9336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pacing w:line="540" w:lineRule="exact"/>
        <w:jc w:val="center"/>
        <w:rPr>
          <w:rFonts w:ascii="宋体" w:hAnsi="宋体"/>
          <w:bCs/>
          <w:kern w:val="0"/>
          <w:sz w:val="28"/>
        </w:rPr>
        <w:sectPr>
          <w:pgSz w:w="11906" w:h="16838"/>
          <w:pgMar w:top="1440" w:right="1588" w:bottom="1440" w:left="1588" w:header="851" w:footer="992" w:gutter="0"/>
          <w:cols w:space="425" w:num="1"/>
          <w:docGrid w:type="lines" w:linePitch="312" w:charSpace="0"/>
        </w:sectPr>
      </w:pPr>
    </w:p>
    <w:p w14:paraId="698F5EA7">
      <w:pPr>
        <w:keepNext w:val="0"/>
        <w:keepLines w:val="0"/>
        <w:pageBreakBefore w:val="0"/>
        <w:kinsoku/>
        <w:wordWrap/>
        <w:overflowPunct/>
        <w:topLinePunct w:val="0"/>
        <w:bidi w:val="0"/>
        <w:adjustRightInd w:val="0"/>
        <w:snapToGrid w:val="0"/>
        <w:spacing w:line="540" w:lineRule="exact"/>
        <w:jc w:val="center"/>
        <w:rPr>
          <w:rFonts w:ascii="方正小标宋简体" w:eastAsia="方正小标宋简体" w:hAnsiTheme="minorHAnsi" w:cstheme="minorBidi"/>
          <w:bCs/>
          <w:sz w:val="36"/>
          <w:szCs w:val="36"/>
        </w:rPr>
      </w:pPr>
    </w:p>
    <w:p w14:paraId="0BA2F3ED">
      <w:pPr>
        <w:keepNext w:val="0"/>
        <w:keepLines w:val="0"/>
        <w:pageBreakBefore w:val="0"/>
        <w:kinsoku/>
        <w:wordWrap/>
        <w:overflowPunct/>
        <w:topLinePunct w:val="0"/>
        <w:bidi w:val="0"/>
        <w:adjustRightInd w:val="0"/>
        <w:snapToGrid w:val="0"/>
        <w:spacing w:line="540" w:lineRule="exact"/>
        <w:jc w:val="center"/>
        <w:rPr>
          <w:rFonts w:ascii="方正小标宋简体" w:eastAsia="方正小标宋简体" w:hAnsiTheme="minorHAnsi" w:cstheme="minorBidi"/>
          <w:bCs/>
          <w:sz w:val="36"/>
          <w:szCs w:val="36"/>
        </w:rPr>
      </w:pPr>
      <w:r>
        <w:rPr>
          <w:rFonts w:hint="eastAsia" w:ascii="方正小标宋简体" w:eastAsia="方正小标宋简体" w:hAnsiTheme="minorHAnsi" w:cstheme="minorBidi"/>
          <w:bCs/>
          <w:sz w:val="36"/>
          <w:szCs w:val="36"/>
        </w:rPr>
        <w:t>填 报 事 项</w:t>
      </w:r>
    </w:p>
    <w:p w14:paraId="3C2F14D2"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540" w:lineRule="exact"/>
        <w:ind w:firstLine="640" w:firstLineChars="200"/>
        <w:rPr>
          <w:rFonts w:eastAsia="方正仿宋"/>
          <w:sz w:val="32"/>
          <w:szCs w:val="32"/>
        </w:rPr>
      </w:pPr>
    </w:p>
    <w:p w14:paraId="2ACB5011"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540" w:lineRule="exact"/>
        <w:ind w:firstLine="640" w:firstLineChars="200"/>
        <w:rPr>
          <w:rFonts w:eastAsia="方正仿宋"/>
          <w:sz w:val="32"/>
          <w:szCs w:val="32"/>
        </w:rPr>
      </w:pPr>
      <w:r>
        <w:rPr>
          <w:rFonts w:eastAsia="方正仿宋"/>
          <w:sz w:val="32"/>
          <w:szCs w:val="32"/>
        </w:rPr>
        <w:t>一、</w:t>
      </w:r>
      <w:r>
        <w:rPr>
          <w:rFonts w:hint="eastAsia" w:eastAsia="方正仿宋"/>
          <w:sz w:val="32"/>
          <w:szCs w:val="32"/>
        </w:rPr>
        <w:t>根据示例规范完整填写成果物清单，仅需填写实际使用的成果，未使用的成果无须填写</w:t>
      </w:r>
      <w:r>
        <w:rPr>
          <w:rFonts w:hint="eastAsia" w:eastAsia="方正仿宋"/>
          <w:sz w:val="32"/>
          <w:szCs w:val="32"/>
          <w:lang w:val="en-US" w:eastAsia="zh-CN"/>
        </w:rPr>
        <w:t>；</w:t>
      </w:r>
      <w:r>
        <w:rPr>
          <w:rFonts w:hint="eastAsia" w:eastAsia="方正仿宋"/>
          <w:sz w:val="32"/>
          <w:szCs w:val="32"/>
        </w:rPr>
        <w:t>其他临时性、测试性成果物统一以建立“备份测试”文件夹进行单独存放。</w:t>
      </w:r>
    </w:p>
    <w:p w14:paraId="04B7F3D5"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540" w:lineRule="exact"/>
        <w:ind w:firstLine="640" w:firstLineChars="200"/>
        <w:rPr>
          <w:rFonts w:eastAsia="方正仿宋"/>
          <w:sz w:val="32"/>
          <w:szCs w:val="32"/>
        </w:rPr>
      </w:pPr>
      <w:r>
        <w:rPr>
          <w:rFonts w:hint="eastAsia" w:eastAsia="方正仿宋"/>
          <w:sz w:val="32"/>
          <w:szCs w:val="32"/>
          <w:lang w:val="en-US" w:eastAsia="zh-CN"/>
        </w:rPr>
        <w:t>二</w:t>
      </w:r>
      <w:r>
        <w:rPr>
          <w:rFonts w:hint="eastAsia" w:eastAsia="方正仿宋"/>
          <w:sz w:val="32"/>
          <w:szCs w:val="32"/>
        </w:rPr>
        <w:t>、使用</w:t>
      </w:r>
      <w:r>
        <w:rPr>
          <w:rFonts w:eastAsia="方正仿宋"/>
          <w:sz w:val="32"/>
          <w:szCs w:val="32"/>
        </w:rPr>
        <w:t>自采数据</w:t>
      </w:r>
      <w:r>
        <w:rPr>
          <w:rFonts w:hint="eastAsia" w:eastAsia="方正仿宋"/>
          <w:sz w:val="32"/>
          <w:szCs w:val="32"/>
        </w:rPr>
        <w:t>的</w:t>
      </w:r>
      <w:r>
        <w:rPr>
          <w:rFonts w:eastAsia="方正仿宋"/>
          <w:sz w:val="32"/>
          <w:szCs w:val="32"/>
        </w:rPr>
        <w:t>需</w:t>
      </w:r>
      <w:r>
        <w:rPr>
          <w:rFonts w:hint="eastAsia" w:eastAsia="方正仿宋"/>
          <w:sz w:val="32"/>
          <w:szCs w:val="32"/>
        </w:rPr>
        <w:t>配套</w:t>
      </w:r>
      <w:r>
        <w:rPr>
          <w:rFonts w:eastAsia="方正仿宋"/>
          <w:sz w:val="32"/>
          <w:szCs w:val="32"/>
        </w:rPr>
        <w:t>提供数据使用手册</w:t>
      </w:r>
      <w:r>
        <w:rPr>
          <w:rFonts w:hint="eastAsia" w:eastAsia="方正仿宋"/>
          <w:sz w:val="32"/>
          <w:szCs w:val="32"/>
        </w:rPr>
        <w:t>，并在手册中对脱敏数据项加“*”标注。</w:t>
      </w:r>
    </w:p>
    <w:p w14:paraId="30326501">
      <w:pPr>
        <w:keepNext w:val="0"/>
        <w:keepLines w:val="0"/>
        <w:pageBreakBefore w:val="0"/>
        <w:tabs>
          <w:tab w:val="left" w:pos="2938"/>
        </w:tabs>
        <w:kinsoku/>
        <w:wordWrap/>
        <w:overflowPunct/>
        <w:topLinePunct w:val="0"/>
        <w:bidi w:val="0"/>
        <w:adjustRightInd w:val="0"/>
        <w:snapToGrid w:val="0"/>
        <w:spacing w:line="540" w:lineRule="exact"/>
        <w:ind w:firstLine="640" w:firstLineChars="200"/>
        <w:jc w:val="left"/>
        <w:outlineLvl w:val="1"/>
        <w:rPr>
          <w:rFonts w:ascii="方正楷体" w:hAnsi="方正楷体" w:eastAsia="方正楷体" w:cs="方正楷体"/>
          <w:sz w:val="32"/>
          <w:szCs w:val="32"/>
        </w:rPr>
      </w:pPr>
      <w:bookmarkStart w:id="0" w:name="_Toc27664"/>
    </w:p>
    <w:p w14:paraId="1859AC7C">
      <w:pPr>
        <w:keepNext w:val="0"/>
        <w:keepLines w:val="0"/>
        <w:pageBreakBefore w:val="0"/>
        <w:tabs>
          <w:tab w:val="left" w:pos="2938"/>
        </w:tabs>
        <w:kinsoku/>
        <w:wordWrap/>
        <w:overflowPunct/>
        <w:topLinePunct w:val="0"/>
        <w:bidi w:val="0"/>
        <w:adjustRightInd w:val="0"/>
        <w:snapToGrid w:val="0"/>
        <w:spacing w:line="540" w:lineRule="exact"/>
        <w:ind w:firstLine="640" w:firstLineChars="200"/>
        <w:jc w:val="left"/>
        <w:outlineLvl w:val="1"/>
        <w:rPr>
          <w:rFonts w:ascii="方正楷体" w:hAnsi="方正楷体" w:eastAsia="方正楷体" w:cs="方正楷体"/>
          <w:sz w:val="32"/>
          <w:szCs w:val="32"/>
        </w:rPr>
      </w:pPr>
    </w:p>
    <w:p w14:paraId="433AD1B6">
      <w:pPr>
        <w:keepNext w:val="0"/>
        <w:keepLines w:val="0"/>
        <w:pageBreakBefore w:val="0"/>
        <w:tabs>
          <w:tab w:val="left" w:pos="2938"/>
        </w:tabs>
        <w:kinsoku/>
        <w:wordWrap/>
        <w:overflowPunct/>
        <w:topLinePunct w:val="0"/>
        <w:bidi w:val="0"/>
        <w:adjustRightInd w:val="0"/>
        <w:snapToGrid w:val="0"/>
        <w:spacing w:line="540" w:lineRule="exact"/>
        <w:ind w:firstLine="640" w:firstLineChars="200"/>
        <w:jc w:val="left"/>
        <w:outlineLvl w:val="1"/>
        <w:rPr>
          <w:rFonts w:ascii="方正楷体" w:hAnsi="方正楷体" w:eastAsia="方正楷体" w:cs="方正楷体"/>
          <w:sz w:val="32"/>
          <w:szCs w:val="32"/>
        </w:rPr>
      </w:pPr>
    </w:p>
    <w:p w14:paraId="428C0397">
      <w:pPr>
        <w:keepNext w:val="0"/>
        <w:keepLines w:val="0"/>
        <w:pageBreakBefore w:val="0"/>
        <w:tabs>
          <w:tab w:val="left" w:pos="2938"/>
        </w:tabs>
        <w:kinsoku/>
        <w:wordWrap/>
        <w:overflowPunct/>
        <w:topLinePunct w:val="0"/>
        <w:bidi w:val="0"/>
        <w:adjustRightInd w:val="0"/>
        <w:snapToGrid w:val="0"/>
        <w:spacing w:line="540" w:lineRule="exact"/>
        <w:ind w:firstLine="640" w:firstLineChars="200"/>
        <w:jc w:val="left"/>
        <w:outlineLvl w:val="1"/>
        <w:rPr>
          <w:rFonts w:ascii="方正楷体" w:hAnsi="方正楷体" w:eastAsia="方正楷体" w:cs="方正楷体"/>
          <w:sz w:val="32"/>
          <w:szCs w:val="32"/>
        </w:rPr>
      </w:pPr>
    </w:p>
    <w:p w14:paraId="107294D8">
      <w:pPr>
        <w:keepNext w:val="0"/>
        <w:keepLines w:val="0"/>
        <w:pageBreakBefore w:val="0"/>
        <w:tabs>
          <w:tab w:val="left" w:pos="2938"/>
        </w:tabs>
        <w:kinsoku/>
        <w:wordWrap/>
        <w:overflowPunct/>
        <w:topLinePunct w:val="0"/>
        <w:bidi w:val="0"/>
        <w:adjustRightInd w:val="0"/>
        <w:snapToGrid w:val="0"/>
        <w:spacing w:line="540" w:lineRule="exact"/>
        <w:ind w:firstLine="640" w:firstLineChars="200"/>
        <w:jc w:val="left"/>
        <w:outlineLvl w:val="1"/>
        <w:rPr>
          <w:rFonts w:ascii="方正楷体" w:hAnsi="方正楷体" w:eastAsia="方正楷体" w:cs="方正楷体"/>
          <w:sz w:val="32"/>
          <w:szCs w:val="32"/>
        </w:rPr>
      </w:pPr>
    </w:p>
    <w:p w14:paraId="16C4E5E8">
      <w:pPr>
        <w:keepNext w:val="0"/>
        <w:keepLines w:val="0"/>
        <w:pageBreakBefore w:val="0"/>
        <w:tabs>
          <w:tab w:val="left" w:pos="2938"/>
        </w:tabs>
        <w:kinsoku/>
        <w:wordWrap/>
        <w:overflowPunct/>
        <w:topLinePunct w:val="0"/>
        <w:bidi w:val="0"/>
        <w:adjustRightInd w:val="0"/>
        <w:snapToGrid w:val="0"/>
        <w:spacing w:line="540" w:lineRule="exact"/>
        <w:ind w:firstLine="640" w:firstLineChars="200"/>
        <w:jc w:val="left"/>
        <w:outlineLvl w:val="1"/>
        <w:rPr>
          <w:rFonts w:ascii="方正楷体" w:hAnsi="方正楷体" w:eastAsia="方正楷体" w:cs="方正楷体"/>
          <w:sz w:val="32"/>
          <w:szCs w:val="32"/>
        </w:rPr>
      </w:pPr>
    </w:p>
    <w:p w14:paraId="1AB4BB0B">
      <w:pPr>
        <w:keepNext w:val="0"/>
        <w:keepLines w:val="0"/>
        <w:pageBreakBefore w:val="0"/>
        <w:tabs>
          <w:tab w:val="left" w:pos="2938"/>
        </w:tabs>
        <w:kinsoku/>
        <w:wordWrap/>
        <w:overflowPunct/>
        <w:topLinePunct w:val="0"/>
        <w:bidi w:val="0"/>
        <w:adjustRightInd w:val="0"/>
        <w:snapToGrid w:val="0"/>
        <w:spacing w:line="540" w:lineRule="exact"/>
        <w:ind w:firstLine="640" w:firstLineChars="200"/>
        <w:jc w:val="left"/>
        <w:outlineLvl w:val="1"/>
        <w:rPr>
          <w:rFonts w:ascii="方正楷体" w:hAnsi="方正楷体" w:eastAsia="方正楷体" w:cs="方正楷体"/>
          <w:sz w:val="32"/>
          <w:szCs w:val="32"/>
        </w:rPr>
      </w:pPr>
    </w:p>
    <w:p w14:paraId="22784C98">
      <w:pPr>
        <w:keepNext w:val="0"/>
        <w:keepLines w:val="0"/>
        <w:pageBreakBefore w:val="0"/>
        <w:tabs>
          <w:tab w:val="left" w:pos="2938"/>
        </w:tabs>
        <w:kinsoku/>
        <w:wordWrap/>
        <w:overflowPunct/>
        <w:topLinePunct w:val="0"/>
        <w:bidi w:val="0"/>
        <w:adjustRightInd w:val="0"/>
        <w:snapToGrid w:val="0"/>
        <w:spacing w:line="540" w:lineRule="exact"/>
        <w:ind w:firstLine="640" w:firstLineChars="200"/>
        <w:jc w:val="left"/>
        <w:outlineLvl w:val="1"/>
        <w:rPr>
          <w:rFonts w:ascii="方正楷体" w:hAnsi="方正楷体" w:eastAsia="方正楷体" w:cs="方正楷体"/>
          <w:sz w:val="32"/>
          <w:szCs w:val="32"/>
        </w:rPr>
      </w:pPr>
    </w:p>
    <w:p w14:paraId="7C1F3483">
      <w:pPr>
        <w:keepNext w:val="0"/>
        <w:keepLines w:val="0"/>
        <w:pageBreakBefore w:val="0"/>
        <w:tabs>
          <w:tab w:val="left" w:pos="2938"/>
        </w:tabs>
        <w:kinsoku/>
        <w:wordWrap/>
        <w:overflowPunct/>
        <w:topLinePunct w:val="0"/>
        <w:bidi w:val="0"/>
        <w:adjustRightInd w:val="0"/>
        <w:snapToGrid w:val="0"/>
        <w:spacing w:line="540" w:lineRule="exact"/>
        <w:ind w:firstLine="640" w:firstLineChars="200"/>
        <w:jc w:val="left"/>
        <w:outlineLvl w:val="1"/>
        <w:rPr>
          <w:rFonts w:ascii="方正楷体" w:hAnsi="方正楷体" w:eastAsia="方正楷体" w:cs="方正楷体"/>
          <w:sz w:val="32"/>
          <w:szCs w:val="32"/>
        </w:rPr>
      </w:pPr>
    </w:p>
    <w:bookmarkEnd w:id="0"/>
    <w:p w14:paraId="25473989">
      <w:pPr>
        <w:keepNext w:val="0"/>
        <w:keepLines w:val="0"/>
        <w:pageBreakBefore w:val="0"/>
        <w:tabs>
          <w:tab w:val="left" w:pos="2721"/>
        </w:tabs>
        <w:kinsoku/>
        <w:wordWrap/>
        <w:overflowPunct/>
        <w:topLinePunct w:val="0"/>
        <w:bidi w:val="0"/>
        <w:adjustRightInd w:val="0"/>
        <w:snapToGrid w:val="0"/>
        <w:spacing w:line="540" w:lineRule="exact"/>
        <w:jc w:val="center"/>
        <w:rPr>
          <w:rFonts w:eastAsia="方正小标宋简体"/>
          <w:sz w:val="36"/>
          <w:szCs w:val="36"/>
        </w:rPr>
        <w:sectPr>
          <w:pgSz w:w="11906" w:h="16838"/>
          <w:pgMar w:top="1440" w:right="1803" w:bottom="1440" w:left="1803" w:header="851" w:footer="992" w:gutter="0"/>
          <w:cols w:space="0" w:num="1"/>
          <w:docGrid w:type="lines" w:linePitch="319" w:charSpace="0"/>
        </w:sectPr>
      </w:pPr>
      <w:bookmarkStart w:id="1" w:name="_Toc15121"/>
    </w:p>
    <w:p w14:paraId="46AFF870">
      <w:pPr>
        <w:tabs>
          <w:tab w:val="left" w:pos="2721"/>
        </w:tabs>
        <w:adjustRightInd w:val="0"/>
        <w:snapToGrid w:val="0"/>
        <w:spacing w:line="320" w:lineRule="auto"/>
        <w:jc w:val="center"/>
        <w:rPr>
          <w:rFonts w:eastAsia="方正仿宋"/>
          <w:b/>
          <w:bCs/>
          <w:sz w:val="32"/>
          <w:szCs w:val="32"/>
        </w:rPr>
      </w:pPr>
      <w:r>
        <w:rPr>
          <w:rFonts w:hint="eastAsia" w:ascii="方正黑体" w:eastAsia="方正黑体"/>
          <w:sz w:val="36"/>
          <w:szCs w:val="36"/>
        </w:rPr>
        <w:t>成果物清单</w:t>
      </w:r>
    </w:p>
    <w:tbl>
      <w:tblPr>
        <w:tblStyle w:val="4"/>
        <w:tblW w:w="4856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8"/>
        <w:gridCol w:w="1290"/>
        <w:gridCol w:w="2487"/>
        <w:gridCol w:w="3342"/>
      </w:tblGrid>
      <w:tr w14:paraId="389B9B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1" w:hRule="atLeast"/>
          <w:tblHeader/>
          <w:jc w:val="center"/>
        </w:trPr>
        <w:tc>
          <w:tcPr>
            <w:tcW w:w="699" w:type="pct"/>
            <w:vAlign w:val="center"/>
          </w:tcPr>
          <w:p w14:paraId="5B91D3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i w:val="0"/>
                <w:i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sz w:val="24"/>
                <w:szCs w:val="24"/>
              </w:rPr>
              <w:t>技术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sz w:val="24"/>
                <w:szCs w:val="24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sz w:val="24"/>
                <w:szCs w:val="24"/>
              </w:rPr>
              <w:t>工具</w:t>
            </w:r>
          </w:p>
        </w:tc>
        <w:tc>
          <w:tcPr>
            <w:tcW w:w="779" w:type="pct"/>
            <w:vAlign w:val="center"/>
          </w:tcPr>
          <w:p w14:paraId="53EF7A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i w:val="0"/>
                <w:i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sz w:val="24"/>
                <w:szCs w:val="24"/>
              </w:rPr>
              <w:t>成果物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sz w:val="24"/>
                <w:szCs w:val="24"/>
              </w:rPr>
              <w:t>类别</w:t>
            </w:r>
          </w:p>
        </w:tc>
        <w:tc>
          <w:tcPr>
            <w:tcW w:w="1502" w:type="pct"/>
            <w:vAlign w:val="center"/>
          </w:tcPr>
          <w:p w14:paraId="10BBB5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i w:val="0"/>
                <w:i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sz w:val="24"/>
                <w:szCs w:val="24"/>
              </w:rPr>
              <w:t>成果物清单</w:t>
            </w:r>
          </w:p>
        </w:tc>
        <w:tc>
          <w:tcPr>
            <w:tcW w:w="2018" w:type="pct"/>
            <w:vAlign w:val="center"/>
          </w:tcPr>
          <w:p w14:paraId="59C9F6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i w:val="0"/>
                <w:i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sz w:val="24"/>
                <w:szCs w:val="24"/>
              </w:rPr>
              <w:t>成果物说明</w:t>
            </w:r>
          </w:p>
        </w:tc>
      </w:tr>
      <w:tr w14:paraId="40226A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4" w:hRule="atLeast"/>
          <w:jc w:val="center"/>
        </w:trPr>
        <w:tc>
          <w:tcPr>
            <w:tcW w:w="699" w:type="pct"/>
            <w:vMerge w:val="restart"/>
            <w:vAlign w:val="center"/>
          </w:tcPr>
          <w:p w14:paraId="6D0BA2F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  <w:t>QUICKBI</w:t>
            </w:r>
          </w:p>
        </w:tc>
        <w:tc>
          <w:tcPr>
            <w:tcW w:w="779" w:type="pct"/>
            <w:vAlign w:val="center"/>
          </w:tcPr>
          <w:p w14:paraId="60F06B7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  <w:t>仪表板</w:t>
            </w:r>
          </w:p>
        </w:tc>
        <w:tc>
          <w:tcPr>
            <w:tcW w:w="1502" w:type="pct"/>
            <w:vAlign w:val="center"/>
          </w:tcPr>
          <w:p w14:paraId="6D034FA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ascii="Arial" w:hAnsi="Arial" w:eastAsia="宋体" w:cs="Arial"/>
                <w:i w:val="0"/>
                <w:iCs w:val="0"/>
                <w:caps w:val="0"/>
                <w:color w:val="111111"/>
                <w:spacing w:val="0"/>
                <w:sz w:val="24"/>
                <w:szCs w:val="24"/>
                <w:shd w:val="clear" w:fill="FFFFFF"/>
              </w:rPr>
              <w:t>数字驱动的收购预警与精准管控</w:t>
            </w:r>
            <w:r>
              <w:rPr>
                <w:rFonts w:ascii="宋体" w:hAnsi="宋体" w:eastAsia="宋体" w:cs="宋体"/>
                <w:sz w:val="24"/>
                <w:szCs w:val="24"/>
              </w:rPr>
              <w:t>数据分析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大屏</w:t>
            </w:r>
          </w:p>
        </w:tc>
        <w:tc>
          <w:tcPr>
            <w:tcW w:w="2018" w:type="pct"/>
            <w:vAlign w:val="center"/>
          </w:tcPr>
          <w:p w14:paraId="0FB3BA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1.集中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分析展示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2024年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宜昌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烟叶收购整体情况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。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全市收购线数量、2024烟叶产量预测情况、2024总收购量与各部位占比、各收购线收购周期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等数据，应用成果入口地址：https://b.datav.run/share/page/da06007fd9769ebdd954bab1082f3b57</w:t>
            </w:r>
          </w:p>
        </w:tc>
      </w:tr>
      <w:tr w14:paraId="769CF6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60" w:hRule="atLeast"/>
          <w:jc w:val="center"/>
        </w:trPr>
        <w:tc>
          <w:tcPr>
            <w:tcW w:w="699" w:type="pct"/>
            <w:vMerge w:val="continue"/>
            <w:vAlign w:val="center"/>
          </w:tcPr>
          <w:p w14:paraId="3C2769A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779" w:type="pct"/>
            <w:vAlign w:val="center"/>
          </w:tcPr>
          <w:p w14:paraId="34C1D9A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  <w:t>数据源</w:t>
            </w:r>
          </w:p>
        </w:tc>
        <w:tc>
          <w:tcPr>
            <w:tcW w:w="1502" w:type="pct"/>
            <w:vAlign w:val="center"/>
          </w:tcPr>
          <w:p w14:paraId="2DF4B3D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lang w:val="en-US" w:eastAsia="zh-CN"/>
              </w:rPr>
              <w:t>tobacco_leaf_purchasing(自建）</w:t>
            </w:r>
          </w:p>
        </w:tc>
        <w:tc>
          <w:tcPr>
            <w:tcW w:w="2018" w:type="pct"/>
            <w:vAlign w:val="center"/>
          </w:tcPr>
          <w:p w14:paraId="073A465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lang w:val="en-US" w:eastAsia="zh-CN"/>
              </w:rPr>
              <w:t>Order表：从2020年至2024年5年中的每日收购数据，包含合同号、烟农id、身份证号码、姓名、订单id等15个字段；</w:t>
            </w:r>
          </w:p>
          <w:p w14:paraId="193B990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lang w:val="en-US" w:eastAsia="zh-CN"/>
              </w:rPr>
              <w:t>Contract表：从2020年至2024年5年的烟叶合同签订数据，包含站点名称、烟农姓名、地址、身份证号码、烟叶类型、合同类型等14个字段。</w:t>
            </w:r>
          </w:p>
        </w:tc>
      </w:tr>
      <w:tr w14:paraId="712E15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5" w:hRule="atLeast"/>
          <w:jc w:val="center"/>
        </w:trPr>
        <w:tc>
          <w:tcPr>
            <w:tcW w:w="699" w:type="pct"/>
            <w:vMerge w:val="continue"/>
            <w:vAlign w:val="center"/>
          </w:tcPr>
          <w:p w14:paraId="368967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779" w:type="pct"/>
            <w:vAlign w:val="center"/>
          </w:tcPr>
          <w:p w14:paraId="069982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  <w:t>数据集</w:t>
            </w:r>
          </w:p>
        </w:tc>
        <w:tc>
          <w:tcPr>
            <w:tcW w:w="1502" w:type="pct"/>
            <w:vAlign w:val="center"/>
          </w:tcPr>
          <w:p w14:paraId="702E529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lang w:val="en-US" w:eastAsia="zh-CN"/>
              </w:rPr>
              <w:t>烟叶收购数据集</w:t>
            </w:r>
          </w:p>
        </w:tc>
        <w:tc>
          <w:tcPr>
            <w:tcW w:w="2018" w:type="pct"/>
            <w:vAlign w:val="center"/>
          </w:tcPr>
          <w:p w14:paraId="5E155C2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lang w:val="en-US" w:eastAsia="zh-CN"/>
              </w:rPr>
              <w:t>farmer_grade_summary：从2020年至2024年，5年间每户烟农每天交售烟叶的记录，包含每日上等烟重量、上部叶重量、中部叶重量和下部叶重量以及各小等级重量等。</w:t>
            </w:r>
          </w:p>
          <w:p w14:paraId="76ECDC1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lang w:val="en-US" w:eastAsia="zh-CN"/>
              </w:rPr>
              <w:t>farmer_summary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lang w:val="en-US" w:eastAsia="zh-CN"/>
              </w:rPr>
              <w:t>：从2020年至2024年每年烟农的烟叶交售记录，包含最初合同签订量、调整后合同签订量、每年各等级交售总量等。</w:t>
            </w:r>
          </w:p>
        </w:tc>
      </w:tr>
      <w:tr w14:paraId="45410B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5" w:hRule="atLeast"/>
          <w:jc w:val="center"/>
        </w:trPr>
        <w:tc>
          <w:tcPr>
            <w:tcW w:w="699" w:type="pct"/>
            <w:vMerge w:val="restart"/>
            <w:vAlign w:val="center"/>
          </w:tcPr>
          <w:p w14:paraId="6834B43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  <w:t>低代码开发</w:t>
            </w:r>
          </w:p>
        </w:tc>
        <w:tc>
          <w:tcPr>
            <w:tcW w:w="779" w:type="pct"/>
            <w:vAlign w:val="center"/>
          </w:tcPr>
          <w:p w14:paraId="756AD8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lang w:val="en-US" w:eastAsia="zh-CN"/>
              </w:rPr>
              <w:t>门户</w:t>
            </w:r>
          </w:p>
        </w:tc>
        <w:tc>
          <w:tcPr>
            <w:tcW w:w="1502" w:type="pct"/>
            <w:vAlign w:val="center"/>
          </w:tcPr>
          <w:p w14:paraId="72544B7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  <w:t>基于数字驱动的收购预警与管控平台</w:t>
            </w:r>
          </w:p>
        </w:tc>
        <w:tc>
          <w:tcPr>
            <w:tcW w:w="2018" w:type="pct"/>
            <w:vAlign w:val="center"/>
          </w:tcPr>
          <w:p w14:paraId="5EFED91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lang w:val="en-US" w:eastAsia="zh-CN"/>
              </w:rPr>
              <w:t>该门户集成了数据分析大屏和各类表单，从此门户可以一步直达所需应用，还可以查看到待办提醒，及时对相关工作进行处理。https://ddm.sj.tobaccohb.com.cn/qflow/dashboard/c025450c1k01/view</w:t>
            </w:r>
          </w:p>
        </w:tc>
      </w:tr>
      <w:tr w14:paraId="39E0E9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3" w:hRule="atLeast"/>
          <w:jc w:val="center"/>
        </w:trPr>
        <w:tc>
          <w:tcPr>
            <w:tcW w:w="699" w:type="pct"/>
            <w:vMerge w:val="continue"/>
            <w:vAlign w:val="center"/>
          </w:tcPr>
          <w:p w14:paraId="5F06E16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779" w:type="pct"/>
            <w:vAlign w:val="center"/>
          </w:tcPr>
          <w:p w14:paraId="6435635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  <w:t>表单</w:t>
            </w:r>
          </w:p>
        </w:tc>
        <w:tc>
          <w:tcPr>
            <w:tcW w:w="1502" w:type="pct"/>
            <w:vAlign w:val="center"/>
          </w:tcPr>
          <w:p w14:paraId="21BCDDF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lang w:val="en-US" w:eastAsia="zh-CN"/>
              </w:rPr>
              <w:t>烤房信息（普通）</w:t>
            </w:r>
          </w:p>
          <w:p w14:paraId="59F2E51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lang w:val="en-US" w:eastAsia="zh-CN"/>
              </w:rPr>
              <w:t>烟农基本信息维护表（普通）</w:t>
            </w:r>
          </w:p>
          <w:p w14:paraId="1F2FE79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lang w:val="en-US" w:eastAsia="zh-CN"/>
              </w:rPr>
              <w:t>烘烤信息采集（普通）</w:t>
            </w:r>
          </w:p>
          <w:p w14:paraId="70A93DB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lang w:val="en-US" w:eastAsia="zh-CN"/>
              </w:rPr>
              <w:t>丰欠产推送核查（流程）</w:t>
            </w:r>
          </w:p>
          <w:p w14:paraId="6B0FFC3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lang w:val="en-US" w:eastAsia="zh-CN"/>
              </w:rPr>
              <w:t>丰欠产入户核查表（流程）</w:t>
            </w:r>
          </w:p>
          <w:p w14:paraId="19733A0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lang w:val="en-US" w:eastAsia="zh-CN"/>
              </w:rPr>
              <w:t>烟农预警推送（流程）</w:t>
            </w:r>
          </w:p>
          <w:p w14:paraId="2FF39BF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lang w:val="en-US" w:eastAsia="zh-CN"/>
              </w:rPr>
              <w:t>烟农预警核查（流程）</w:t>
            </w:r>
          </w:p>
          <w:p w14:paraId="19D97BE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lang w:val="en-US" w:eastAsia="zh-CN"/>
              </w:rPr>
              <w:t>收购线基础信息（普通）</w:t>
            </w:r>
          </w:p>
          <w:p w14:paraId="28798BF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lang w:val="en-US" w:eastAsia="zh-CN"/>
              </w:rPr>
              <w:t>收购线每日压力提醒（流程）</w:t>
            </w:r>
          </w:p>
        </w:tc>
        <w:tc>
          <w:tcPr>
            <w:tcW w:w="2018" w:type="pct"/>
            <w:vAlign w:val="center"/>
          </w:tcPr>
          <w:p w14:paraId="7A46D82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lang w:val="en-US" w:eastAsia="zh-CN"/>
              </w:rPr>
              <w:t>该表单内保存的是烤房基础信息如编号、负责人等，用于入户测产时做到烟农与烤房相关联；</w:t>
            </w:r>
          </w:p>
          <w:p w14:paraId="36A1B4C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lang w:val="en-US" w:eastAsia="zh-CN"/>
              </w:rPr>
              <w:t>该表单中存放的时烟农的基础数据，包括姓名、身份证号码、电话号码、对应的技术员等信息。</w:t>
            </w:r>
          </w:p>
          <w:p w14:paraId="46642DF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lang w:val="en-US" w:eastAsia="zh-CN"/>
              </w:rPr>
              <w:t>烘烤信息采集表是烟叶技术员入户测产时需要填写的表格，需要关联烟农信息和烤房信息；</w:t>
            </w:r>
          </w:p>
          <w:p w14:paraId="2FC7CBA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lang w:val="en-US" w:eastAsia="zh-CN"/>
              </w:rPr>
              <w:t>丰欠产推送核查是通过RPA机器人自动填写的，用于向相关负责人提醒入户核查；</w:t>
            </w:r>
          </w:p>
          <w:p w14:paraId="0953244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lang w:val="en-US" w:eastAsia="zh-CN"/>
              </w:rPr>
              <w:t>用于填写丰欠产烟农入户核查情况及结果；</w:t>
            </w:r>
          </w:p>
          <w:p w14:paraId="38057DA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lang w:val="en-US" w:eastAsia="zh-CN"/>
              </w:rPr>
              <w:t>该流程主要是烟农在交售过程中触发了预警后，RPA机器人将自动录入该流程，并向所在收购线负责人进行及时提醒。</w:t>
            </w:r>
          </w:p>
          <w:p w14:paraId="2035797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lang w:val="en-US" w:eastAsia="zh-CN"/>
              </w:rPr>
              <w:t>用于填写触发预警情况的烟农进行核查情况及结果；</w:t>
            </w:r>
          </w:p>
          <w:p w14:paraId="0BFFF89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lang w:val="en-US" w:eastAsia="zh-CN"/>
              </w:rPr>
              <w:t>该表单用于存放收购线相关信息，负责人、相关站点等基础信息；</w:t>
            </w:r>
          </w:p>
          <w:p w14:paraId="1BE4A11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lang w:val="en-US" w:eastAsia="zh-CN"/>
              </w:rPr>
              <w:t>该表用于填写基于每日收购数据测算的效率-压力情况，并给出每日收购量建议。</w:t>
            </w:r>
          </w:p>
        </w:tc>
      </w:tr>
      <w:tr w14:paraId="3B6857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8" w:hRule="atLeast"/>
          <w:jc w:val="center"/>
        </w:trPr>
        <w:tc>
          <w:tcPr>
            <w:tcW w:w="699" w:type="pct"/>
            <w:vMerge w:val="continue"/>
            <w:vAlign w:val="center"/>
          </w:tcPr>
          <w:p w14:paraId="2CF4A3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779" w:type="pct"/>
            <w:vAlign w:val="center"/>
          </w:tcPr>
          <w:p w14:paraId="7161BB7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lang w:val="en-US" w:eastAsia="zh-CN"/>
              </w:rPr>
              <w:t>Q-robot</w:t>
            </w:r>
          </w:p>
        </w:tc>
        <w:tc>
          <w:tcPr>
            <w:tcW w:w="1502" w:type="pct"/>
            <w:vAlign w:val="center"/>
          </w:tcPr>
          <w:p w14:paraId="030D6C3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lang w:val="en-US" w:eastAsia="zh-CN"/>
              </w:rPr>
              <w:t>定时提醒</w:t>
            </w:r>
          </w:p>
        </w:tc>
        <w:tc>
          <w:tcPr>
            <w:tcW w:w="2018" w:type="pct"/>
            <w:vAlign w:val="center"/>
          </w:tcPr>
          <w:p w14:paraId="3A55BB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lang w:val="en-US" w:eastAsia="zh-CN"/>
              </w:rPr>
              <w:t>如果需要进行入户核查的相关表单一直未进行处理，则会定时发送提醒给相关负责人。</w:t>
            </w:r>
          </w:p>
        </w:tc>
      </w:tr>
      <w:tr w14:paraId="6EC1B9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5" w:hRule="atLeast"/>
          <w:jc w:val="center"/>
        </w:trPr>
        <w:tc>
          <w:tcPr>
            <w:tcW w:w="699" w:type="pct"/>
            <w:vMerge w:val="restart"/>
            <w:vAlign w:val="center"/>
          </w:tcPr>
          <w:p w14:paraId="7BD248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highlight w:val="none"/>
                <w:lang w:val="en-US" w:eastAsia="zh-CN"/>
              </w:rPr>
              <w:t>RPA开发</w:t>
            </w:r>
          </w:p>
        </w:tc>
        <w:tc>
          <w:tcPr>
            <w:tcW w:w="779" w:type="pct"/>
            <w:vAlign w:val="center"/>
          </w:tcPr>
          <w:p w14:paraId="0398332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highlight w:val="none"/>
                <w:lang w:val="en-US" w:eastAsia="zh-CN"/>
              </w:rPr>
              <w:t>应用</w:t>
            </w:r>
          </w:p>
        </w:tc>
        <w:tc>
          <w:tcPr>
            <w:tcW w:w="1502" w:type="pct"/>
            <w:vAlign w:val="center"/>
          </w:tcPr>
          <w:p w14:paraId="62BABE3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highlight w:val="none"/>
                <w:lang w:val="en-US" w:eastAsia="zh-CN"/>
              </w:rPr>
              <w:t>获取收购记录</w:t>
            </w:r>
          </w:p>
          <w:p w14:paraId="29FB311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highlight w:val="none"/>
                <w:lang w:val="en-US" w:eastAsia="zh-CN"/>
              </w:rPr>
              <w:t>丰欠产烟农发起核查推送</w:t>
            </w:r>
          </w:p>
          <w:p w14:paraId="37FC4A8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highlight w:val="none"/>
                <w:lang w:val="en-US" w:eastAsia="zh-CN"/>
              </w:rPr>
              <w:t>预警烟农发起预警推送</w:t>
            </w:r>
          </w:p>
        </w:tc>
        <w:tc>
          <w:tcPr>
            <w:tcW w:w="2018" w:type="pct"/>
            <w:vAlign w:val="center"/>
          </w:tcPr>
          <w:p w14:paraId="20F8C39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lang w:val="en-US" w:eastAsia="zh-CN"/>
              </w:rPr>
              <w:t>用于获取烟叶信息管理基础软件中的烟农每日交售记录，导入到轻流低代码平台中；</w:t>
            </w:r>
          </w:p>
          <w:p w14:paraId="0992AA7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lang w:val="en-US" w:eastAsia="zh-CN"/>
              </w:rPr>
              <w:t>将获取到的丰欠产烟农详细名单，用RPA在轻流低代码中发起流程待办；</w:t>
            </w:r>
          </w:p>
          <w:p w14:paraId="5B3A267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lang w:val="en-US" w:eastAsia="zh-CN"/>
              </w:rPr>
              <w:t>将获取到的预警烟农详细名单，用RPA在轻流低代码中发起流程待办；</w:t>
            </w:r>
          </w:p>
        </w:tc>
      </w:tr>
      <w:tr w14:paraId="2655AF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5" w:hRule="atLeast"/>
          <w:jc w:val="center"/>
        </w:trPr>
        <w:tc>
          <w:tcPr>
            <w:tcW w:w="699" w:type="pct"/>
            <w:vMerge w:val="continue"/>
            <w:vAlign w:val="center"/>
          </w:tcPr>
          <w:p w14:paraId="570E313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highlight w:val="none"/>
                <w:lang w:val="en-US" w:eastAsia="zh-CN"/>
              </w:rPr>
            </w:pPr>
          </w:p>
        </w:tc>
        <w:tc>
          <w:tcPr>
            <w:tcW w:w="779" w:type="pct"/>
            <w:vAlign w:val="center"/>
          </w:tcPr>
          <w:p w14:paraId="4DF5C8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highlight w:val="none"/>
                <w:lang w:val="en-US" w:eastAsia="zh-CN"/>
              </w:rPr>
              <w:t>RPA平台</w:t>
            </w:r>
          </w:p>
        </w:tc>
        <w:tc>
          <w:tcPr>
            <w:tcW w:w="1502" w:type="pct"/>
            <w:vAlign w:val="center"/>
          </w:tcPr>
          <w:p w14:paraId="54377D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highlight w:val="none"/>
                <w:lang w:val="en-US" w:eastAsia="zh-CN"/>
              </w:rPr>
              <w:t>1.影刀</w:t>
            </w:r>
          </w:p>
        </w:tc>
        <w:tc>
          <w:tcPr>
            <w:tcW w:w="2018" w:type="pct"/>
            <w:vAlign w:val="center"/>
          </w:tcPr>
          <w:p w14:paraId="5B3D5A1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highlight w:val="yellow"/>
              </w:rPr>
            </w:pPr>
          </w:p>
        </w:tc>
      </w:tr>
      <w:tr w14:paraId="6CDE2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5" w:hRule="atLeast"/>
          <w:jc w:val="center"/>
        </w:trPr>
        <w:tc>
          <w:tcPr>
            <w:tcW w:w="699" w:type="pct"/>
            <w:vMerge w:val="continue"/>
            <w:vAlign w:val="center"/>
          </w:tcPr>
          <w:p w14:paraId="469883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highlight w:val="none"/>
                <w:lang w:val="en-US" w:eastAsia="zh-CN"/>
              </w:rPr>
            </w:pPr>
          </w:p>
        </w:tc>
        <w:tc>
          <w:tcPr>
            <w:tcW w:w="779" w:type="pct"/>
            <w:vAlign w:val="center"/>
          </w:tcPr>
          <w:p w14:paraId="4219F1B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highlight w:val="none"/>
                <w:lang w:val="en-US" w:eastAsia="zh-CN"/>
              </w:rPr>
              <w:t>功能组件</w:t>
            </w:r>
          </w:p>
        </w:tc>
        <w:tc>
          <w:tcPr>
            <w:tcW w:w="1502" w:type="pct"/>
            <w:vAlign w:val="center"/>
          </w:tcPr>
          <w:p w14:paraId="32EFA718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lang w:val="en-US" w:eastAsia="zh-CN"/>
              </w:rPr>
              <w:t>1.定时触发器</w:t>
            </w:r>
          </w:p>
        </w:tc>
        <w:tc>
          <w:tcPr>
            <w:tcW w:w="2018" w:type="pct"/>
            <w:vAlign w:val="center"/>
          </w:tcPr>
          <w:p w14:paraId="122F6F22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lang w:val="en-US" w:eastAsia="zh-CN"/>
              </w:rPr>
              <w:t>设定每日收购的结束时间，自动运行设置的相关应用</w:t>
            </w:r>
          </w:p>
        </w:tc>
      </w:tr>
      <w:tr w14:paraId="6618DB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5" w:hRule="atLeast"/>
          <w:jc w:val="center"/>
        </w:trPr>
        <w:tc>
          <w:tcPr>
            <w:tcW w:w="699" w:type="pct"/>
            <w:vMerge w:val="continue"/>
            <w:vAlign w:val="center"/>
          </w:tcPr>
          <w:p w14:paraId="5D1C43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highlight w:val="none"/>
                <w:lang w:val="en-US" w:eastAsia="zh-CN"/>
              </w:rPr>
            </w:pPr>
          </w:p>
        </w:tc>
        <w:tc>
          <w:tcPr>
            <w:tcW w:w="779" w:type="pct"/>
            <w:vAlign w:val="center"/>
          </w:tcPr>
          <w:p w14:paraId="58CCD5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highlight w:val="none"/>
                <w:lang w:val="en-US" w:eastAsia="zh-CN"/>
              </w:rPr>
              <w:t>数据源</w:t>
            </w:r>
          </w:p>
        </w:tc>
        <w:tc>
          <w:tcPr>
            <w:tcW w:w="1502" w:type="pct"/>
            <w:vAlign w:val="center"/>
          </w:tcPr>
          <w:p w14:paraId="0A9E0A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highlight w:val="none"/>
                <w:lang w:val="en-US" w:eastAsia="zh-CN"/>
              </w:rPr>
              <w:t>1.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lang w:val="en-US" w:eastAsia="zh-CN"/>
              </w:rPr>
              <w:t>tobacco_leaf_purchasing</w:t>
            </w:r>
          </w:p>
        </w:tc>
        <w:tc>
          <w:tcPr>
            <w:tcW w:w="2018" w:type="pct"/>
            <w:vAlign w:val="center"/>
          </w:tcPr>
          <w:p w14:paraId="77F6D7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highlight w:val="yellow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lang w:val="en-US" w:eastAsia="zh-CN"/>
              </w:rPr>
              <w:t>order表和contract表</w:t>
            </w:r>
          </w:p>
        </w:tc>
      </w:tr>
      <w:tr w14:paraId="5DC5EB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5" w:hRule="atLeast"/>
          <w:jc w:val="center"/>
        </w:trPr>
        <w:tc>
          <w:tcPr>
            <w:tcW w:w="699" w:type="pct"/>
            <w:vAlign w:val="center"/>
          </w:tcPr>
          <w:p w14:paraId="780FEF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  <w:t>算法模型</w:t>
            </w:r>
          </w:p>
        </w:tc>
        <w:tc>
          <w:tcPr>
            <w:tcW w:w="779" w:type="pct"/>
            <w:vAlign w:val="center"/>
          </w:tcPr>
          <w:p w14:paraId="2F0E993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  <w:t>类别</w:t>
            </w:r>
          </w:p>
        </w:tc>
        <w:tc>
          <w:tcPr>
            <w:tcW w:w="1502" w:type="pct"/>
            <w:vAlign w:val="center"/>
          </w:tcPr>
          <w:p w14:paraId="11B7098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lang w:val="en-US" w:eastAsia="zh-CN"/>
              </w:rPr>
              <w:t>收购线产情预测模型</w:t>
            </w:r>
          </w:p>
          <w:p w14:paraId="4DFD40C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lang w:val="en-US" w:eastAsia="zh-CN"/>
              </w:rPr>
              <w:t>烟农丰欠产预测模型</w:t>
            </w:r>
          </w:p>
          <w:p w14:paraId="324C573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lang w:val="en-US" w:eastAsia="zh-CN"/>
              </w:rPr>
              <w:t>收购线进度优化模型</w:t>
            </w:r>
          </w:p>
          <w:p w14:paraId="40A6393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lang w:val="en-US" w:eastAsia="zh-CN"/>
              </w:rPr>
              <w:t>烟农个性化预警管控</w:t>
            </w:r>
          </w:p>
        </w:tc>
        <w:tc>
          <w:tcPr>
            <w:tcW w:w="2018" w:type="pct"/>
            <w:vAlign w:val="center"/>
          </w:tcPr>
          <w:p w14:paraId="7B8EB56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lang w:val="en-US" w:eastAsia="zh-CN"/>
              </w:rPr>
              <w:t>通过较少的烟农样本，对收购线、站点以及全市的烤烟产量进行预测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lang w:val="en-US" w:eastAsia="zh-CN"/>
              </w:rPr>
              <w:t>；</w:t>
            </w:r>
          </w:p>
          <w:p w14:paraId="2F5204F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lang w:val="en-US" w:eastAsia="zh-CN"/>
              </w:rPr>
              <w:t>更加精准的实现对烟农丰（欠）产情况的掌握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lang w:val="en-US" w:eastAsia="zh-CN"/>
              </w:rPr>
              <w:t>，</w:t>
            </w: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lang w:val="en-US" w:eastAsia="zh-CN"/>
              </w:rPr>
              <w:t>在烟叶收购后期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lang w:val="en-US" w:eastAsia="zh-CN"/>
              </w:rPr>
              <w:t>为</w:t>
            </w: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lang w:val="en-US" w:eastAsia="zh-CN"/>
              </w:rPr>
              <w:t>调整合同工作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lang w:val="en-US" w:eastAsia="zh-CN"/>
              </w:rPr>
              <w:t>提供数据支撑；</w:t>
            </w:r>
          </w:p>
          <w:p w14:paraId="7DAD4F2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lang w:val="en-US" w:eastAsia="zh-CN"/>
              </w:rPr>
              <w:t>适当调整收购节奏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lang w:val="en-US" w:eastAsia="zh-CN"/>
              </w:rPr>
              <w:t>，用于指导</w:t>
            </w: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lang w:val="en-US" w:eastAsia="zh-CN"/>
              </w:rPr>
              <w:t>优化收购周期、缩短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lang w:val="en-US" w:eastAsia="zh-CN"/>
              </w:rPr>
              <w:t>收购</w:t>
            </w: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lang w:val="en-US" w:eastAsia="zh-CN"/>
              </w:rPr>
              <w:t>总天数。</w:t>
            </w:r>
            <w:bookmarkStart w:id="2" w:name="_GoBack"/>
            <w:bookmarkEnd w:id="2"/>
          </w:p>
          <w:p w14:paraId="7EE24B5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lang w:val="en-US" w:eastAsia="zh-CN"/>
              </w:rPr>
              <w:t>根据不同烟农的历史交售表现、所在收购线的整体水平及其波动特征，为其定制差异化的预警阈值与管理策略，避免“一刀切”式的管理弊端。</w:t>
            </w:r>
          </w:p>
        </w:tc>
      </w:tr>
      <w:bookmarkEnd w:id="1"/>
    </w:tbl>
    <w:p w14:paraId="2DD66F90">
      <w:pPr>
        <w:keepNext w:val="0"/>
        <w:keepLines w:val="0"/>
        <w:pageBreakBefore w:val="0"/>
        <w:kinsoku/>
        <w:wordWrap/>
        <w:overflowPunct/>
        <w:topLinePunct w:val="0"/>
        <w:bidi w:val="0"/>
        <w:adjustRightInd w:val="0"/>
        <w:snapToGrid w:val="0"/>
        <w:spacing w:line="540" w:lineRule="exact"/>
        <w:jc w:val="left"/>
        <w:rPr>
          <w:rFonts w:hint="eastAsia" w:ascii="宋体" w:hAnsi="宋体" w:eastAsia="宋体" w:cs="宋体"/>
          <w:sz w:val="24"/>
          <w:szCs w:val="24"/>
        </w:rPr>
      </w:pPr>
    </w:p>
    <w:p w14:paraId="0DAF465B">
      <w:pPr>
        <w:keepNext w:val="0"/>
        <w:keepLines w:val="0"/>
        <w:pageBreakBefore w:val="0"/>
        <w:kinsoku/>
        <w:wordWrap/>
        <w:overflowPunct/>
        <w:topLinePunct w:val="0"/>
        <w:bidi w:val="0"/>
        <w:adjustRightInd w:val="0"/>
        <w:snapToGrid w:val="0"/>
        <w:spacing w:line="540" w:lineRule="exact"/>
        <w:jc w:val="left"/>
        <w:rPr>
          <w:rFonts w:hint="eastAsia" w:ascii="黑体" w:hAnsi="黑体" w:eastAsia="黑体" w:cs="黑体"/>
          <w:sz w:val="30"/>
          <w:szCs w:val="30"/>
        </w:rPr>
      </w:pPr>
    </w:p>
    <w:p w14:paraId="4F4B6323">
      <w:pPr>
        <w:keepNext w:val="0"/>
        <w:keepLines w:val="0"/>
        <w:pageBreakBefore w:val="0"/>
        <w:kinsoku/>
        <w:wordWrap/>
        <w:overflowPunct/>
        <w:topLinePunct w:val="0"/>
        <w:bidi w:val="0"/>
        <w:adjustRightInd w:val="0"/>
        <w:snapToGrid w:val="0"/>
        <w:spacing w:line="540" w:lineRule="exact"/>
        <w:jc w:val="left"/>
        <w:rPr>
          <w:rFonts w:hint="eastAsia" w:ascii="黑体" w:hAnsi="黑体" w:eastAsia="黑体" w:cs="黑体"/>
          <w:sz w:val="30"/>
          <w:szCs w:val="30"/>
        </w:rPr>
      </w:pPr>
    </w:p>
    <w:p w14:paraId="28DBDD9A">
      <w:pPr>
        <w:ind w:left="0" w:leftChars="0" w:firstLine="0" w:firstLineChars="0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方正楷体">
    <w:altName w:val="宋体"/>
    <w:panose1 w:val="03000509000000000000"/>
    <w:charset w:val="86"/>
    <w:family w:val="script"/>
    <w:pitch w:val="default"/>
    <w:sig w:usb0="00000000" w:usb1="00000000" w:usb2="00000010" w:usb3="00000000" w:csb0="00040000" w:csb1="00000000"/>
  </w:font>
  <w:font w:name="方正仿宋">
    <w:altName w:val="仿宋"/>
    <w:panose1 w:val="03000509000000000000"/>
    <w:charset w:val="86"/>
    <w:family w:val="script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方正黑体">
    <w:altName w:val="黑体"/>
    <w:panose1 w:val="03000509000000000000"/>
    <w:charset w:val="86"/>
    <w:family w:val="script"/>
    <w:pitch w:val="default"/>
    <w:sig w:usb0="00000000" w:usb1="00000000" w:usb2="00000010" w:usb3="00000000" w:csb0="0004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C761803"/>
    <w:multiLevelType w:val="singleLevel"/>
    <w:tmpl w:val="8C76180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8EE71D6B"/>
    <w:multiLevelType w:val="singleLevel"/>
    <w:tmpl w:val="8EE71D6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946FD834"/>
    <w:multiLevelType w:val="singleLevel"/>
    <w:tmpl w:val="946FD83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9805526D"/>
    <w:multiLevelType w:val="singleLevel"/>
    <w:tmpl w:val="9805526D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225B8AE6"/>
    <w:multiLevelType w:val="singleLevel"/>
    <w:tmpl w:val="225B8AE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">
    <w:nsid w:val="37E7C70A"/>
    <w:multiLevelType w:val="singleLevel"/>
    <w:tmpl w:val="37E7C70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6">
    <w:nsid w:val="3A1A9259"/>
    <w:multiLevelType w:val="singleLevel"/>
    <w:tmpl w:val="3A1A925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7">
    <w:nsid w:val="3FBC3C72"/>
    <w:multiLevelType w:val="singleLevel"/>
    <w:tmpl w:val="3FBC3C7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8">
    <w:nsid w:val="5CB51DAA"/>
    <w:multiLevelType w:val="singleLevel"/>
    <w:tmpl w:val="5CB51DA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9">
    <w:nsid w:val="6A75473C"/>
    <w:multiLevelType w:val="singleLevel"/>
    <w:tmpl w:val="6A75473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0">
    <w:nsid w:val="6B489C9A"/>
    <w:multiLevelType w:val="singleLevel"/>
    <w:tmpl w:val="6B489C9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1">
    <w:nsid w:val="70BEB083"/>
    <w:multiLevelType w:val="singleLevel"/>
    <w:tmpl w:val="70BEB08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2">
    <w:nsid w:val="76E59744"/>
    <w:multiLevelType w:val="singleLevel"/>
    <w:tmpl w:val="76E5974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8"/>
  </w:num>
  <w:num w:numId="2">
    <w:abstractNumId w:val="9"/>
  </w:num>
  <w:num w:numId="3">
    <w:abstractNumId w:val="12"/>
  </w:num>
  <w:num w:numId="4">
    <w:abstractNumId w:val="5"/>
  </w:num>
  <w:num w:numId="5">
    <w:abstractNumId w:val="1"/>
  </w:num>
  <w:num w:numId="6">
    <w:abstractNumId w:val="7"/>
  </w:num>
  <w:num w:numId="7">
    <w:abstractNumId w:val="10"/>
  </w:num>
  <w:num w:numId="8">
    <w:abstractNumId w:val="0"/>
  </w:num>
  <w:num w:numId="9">
    <w:abstractNumId w:val="6"/>
  </w:num>
  <w:num w:numId="10">
    <w:abstractNumId w:val="11"/>
  </w:num>
  <w:num w:numId="11">
    <w:abstractNumId w:val="4"/>
  </w:num>
  <w:num w:numId="12">
    <w:abstractNumId w:val="2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A0349B"/>
    <w:rsid w:val="070A38E3"/>
    <w:rsid w:val="08552C54"/>
    <w:rsid w:val="09151F1E"/>
    <w:rsid w:val="11FB02E5"/>
    <w:rsid w:val="18ED431E"/>
    <w:rsid w:val="1B486183"/>
    <w:rsid w:val="1BC434B3"/>
    <w:rsid w:val="1EE371AA"/>
    <w:rsid w:val="212A1E87"/>
    <w:rsid w:val="26666A7A"/>
    <w:rsid w:val="266B58CD"/>
    <w:rsid w:val="29915199"/>
    <w:rsid w:val="2A3F3B47"/>
    <w:rsid w:val="2AB0164F"/>
    <w:rsid w:val="2E080AD4"/>
    <w:rsid w:val="3E647289"/>
    <w:rsid w:val="45B929FB"/>
    <w:rsid w:val="48F82F8D"/>
    <w:rsid w:val="4B9F2C60"/>
    <w:rsid w:val="4E127C14"/>
    <w:rsid w:val="4E4433A0"/>
    <w:rsid w:val="535F77DB"/>
    <w:rsid w:val="54130E70"/>
    <w:rsid w:val="56C57900"/>
    <w:rsid w:val="5A2450EA"/>
    <w:rsid w:val="5C602CC7"/>
    <w:rsid w:val="5CF516E9"/>
    <w:rsid w:val="5E940365"/>
    <w:rsid w:val="5E9D36BD"/>
    <w:rsid w:val="607779AE"/>
    <w:rsid w:val="6C85714A"/>
    <w:rsid w:val="6D4C6848"/>
    <w:rsid w:val="6D4E68F6"/>
    <w:rsid w:val="6FA74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iPriority="59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Lines="0" w:beforeAutospacing="0" w:afterLines="0" w:afterAutospacing="0" w:line="560" w:lineRule="exact"/>
      <w:outlineLvl w:val="0"/>
    </w:pPr>
    <w:rPr>
      <w:rFonts w:eastAsia="黑体" w:asciiTheme="minorAscii" w:hAnsiTheme="minorAscii"/>
      <w:kern w:val="44"/>
      <w:sz w:val="32"/>
    </w:rPr>
  </w:style>
  <w:style w:type="character" w:default="1" w:styleId="5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semiHidden/>
    <w:unhideWhenUsed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749</Words>
  <Characters>896</Characters>
  <Lines>0</Lines>
  <Paragraphs>0</Paragraphs>
  <TotalTime>0</TotalTime>
  <ScaleCrop>false</ScaleCrop>
  <LinksUpToDate>false</LinksUpToDate>
  <CharactersWithSpaces>1043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2024-06-11T00:28:00Z</dcterms:created>
  <dc:creator>jiang</dc:creator>
  <cp:lastModifiedBy>LoneStar1414162428</cp:lastModifiedBy>
  <dcterms:modified xsi:type="dcterms:W3CDTF">2025-09-09T10:32:11Z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E32B78160C8A43B18F7795F39872E6D6_12</vt:lpwstr>
  </property>
  <property fmtid="{D5CDD505-2E9C-101B-9397-08002B2CF9AE}" pid="4" name="KSOTemplateDocerSaveRecord">
    <vt:lpwstr>eyJoZGlkIjoiZjk1NTk5ZWJmYjJjNjJmZDhiOTQ5ZDM0ZDU3ZDFjMTEiLCJ1c2VySWQiOiIyMzY3OTM0NiJ9</vt:lpwstr>
  </property>
</Properties>
</file>