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2B42F">
      <w:pPr>
        <w:spacing w:line="540" w:lineRule="exact"/>
        <w:jc w:val="left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附件3</w:t>
      </w:r>
    </w:p>
    <w:p w14:paraId="00A0C2C5">
      <w:pPr>
        <w:spacing w:line="540" w:lineRule="exact"/>
        <w:jc w:val="left"/>
        <w:rPr>
          <w:rFonts w:hint="eastAsia" w:ascii="黑体" w:hAnsi="黑体" w:eastAsia="黑体"/>
          <w:sz w:val="32"/>
          <w:szCs w:val="32"/>
        </w:rPr>
      </w:pPr>
    </w:p>
    <w:p w14:paraId="3A383F23">
      <w:pPr>
        <w:spacing w:line="540" w:lineRule="exact"/>
        <w:jc w:val="left"/>
        <w:rPr>
          <w:rFonts w:hint="eastAsia" w:ascii="黑体" w:hAnsi="黑体" w:eastAsia="黑体"/>
          <w:sz w:val="32"/>
          <w:szCs w:val="32"/>
        </w:rPr>
      </w:pPr>
    </w:p>
    <w:p w14:paraId="64AC55D2">
      <w:pPr>
        <w:adjustRightInd w:val="0"/>
        <w:snapToGrid w:val="0"/>
        <w:spacing w:line="540" w:lineRule="exact"/>
        <w:jc w:val="center"/>
        <w:rPr>
          <w:rFonts w:hint="eastAsia" w:hAnsi="方正小标宋简体" w:eastAsia="方正小标宋简体"/>
          <w:sz w:val="44"/>
          <w:szCs w:val="44"/>
        </w:rPr>
      </w:pPr>
    </w:p>
    <w:p w14:paraId="502AC36C">
      <w:pPr>
        <w:adjustRightInd w:val="0"/>
        <w:snapToGrid w:val="0"/>
        <w:spacing w:line="540" w:lineRule="exact"/>
        <w:jc w:val="center"/>
        <w:rPr>
          <w:rFonts w:hint="eastAsia" w:hAnsi="方正小标宋简体" w:eastAsia="方正小标宋简体"/>
          <w:sz w:val="44"/>
          <w:szCs w:val="44"/>
        </w:rPr>
      </w:pPr>
      <w:r>
        <w:rPr>
          <w:rFonts w:hAnsi="方正小标宋简体" w:eastAsia="方正小标宋简体"/>
          <w:sz w:val="44"/>
          <w:szCs w:val="44"/>
        </w:rPr>
        <w:t>2025年数字化转型创客大赛</w:t>
      </w:r>
    </w:p>
    <w:p w14:paraId="216EE576">
      <w:pPr>
        <w:adjustRightInd w:val="0"/>
        <w:snapToGrid w:val="0"/>
        <w:spacing w:line="540" w:lineRule="exact"/>
        <w:jc w:val="center"/>
        <w:rPr>
          <w:rFonts w:hint="eastAsia"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成果技术资料说明书</w:t>
      </w:r>
    </w:p>
    <w:p w14:paraId="0D95585F">
      <w:pPr>
        <w:adjustRightInd w:val="0"/>
        <w:snapToGrid w:val="0"/>
        <w:spacing w:line="540" w:lineRule="exact"/>
        <w:rPr>
          <w:rFonts w:hint="eastAsia" w:ascii="方正楷体" w:hAnsi="黑体" w:eastAsia="方正楷体"/>
          <w:sz w:val="30"/>
          <w:szCs w:val="30"/>
        </w:rPr>
      </w:pPr>
    </w:p>
    <w:p w14:paraId="76BCA030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/>
          <w:sz w:val="30"/>
          <w:szCs w:val="30"/>
        </w:rPr>
      </w:pPr>
    </w:p>
    <w:p w14:paraId="1621B90A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/>
          <w:sz w:val="30"/>
          <w:szCs w:val="30"/>
        </w:rPr>
      </w:pPr>
    </w:p>
    <w:p w14:paraId="7915912A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/>
          <w:sz w:val="30"/>
          <w:szCs w:val="30"/>
        </w:rPr>
      </w:pPr>
    </w:p>
    <w:p w14:paraId="03225BD2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/>
          <w:sz w:val="30"/>
          <w:szCs w:val="30"/>
        </w:rPr>
      </w:pPr>
    </w:p>
    <w:p w14:paraId="10EE4407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/>
          <w:sz w:val="30"/>
          <w:szCs w:val="30"/>
        </w:rPr>
      </w:pPr>
    </w:p>
    <w:p w14:paraId="2DB14FC3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/>
          <w:sz w:val="30"/>
          <w:szCs w:val="30"/>
        </w:rPr>
      </w:pPr>
    </w:p>
    <w:p w14:paraId="24C787A9">
      <w:pPr>
        <w:adjustRightInd w:val="0"/>
        <w:snapToGrid w:val="0"/>
        <w:spacing w:line="540" w:lineRule="exact"/>
        <w:ind w:firstLine="900" w:firstLineChars="300"/>
        <w:rPr>
          <w:rFonts w:hint="eastAsia" w:ascii="方正楷体" w:hAnsi="黑体" w:eastAsia="方正楷体"/>
          <w:sz w:val="30"/>
          <w:szCs w:val="30"/>
        </w:rPr>
      </w:pPr>
    </w:p>
    <w:p w14:paraId="7BE4F059">
      <w:pPr>
        <w:adjustRightInd w:val="0"/>
        <w:snapToGrid w:val="0"/>
        <w:spacing w:line="540" w:lineRule="exact"/>
        <w:ind w:firstLine="900" w:firstLineChars="300"/>
        <w:rPr>
          <w:rFonts w:hint="eastAsia" w:ascii="方正仿宋" w:hAnsi="黑体" w:eastAsia="方正仿宋"/>
          <w:sz w:val="30"/>
          <w:szCs w:val="30"/>
        </w:rPr>
      </w:pPr>
    </w:p>
    <w:p w14:paraId="3A9E1BD4">
      <w:pPr>
        <w:adjustRightInd w:val="0"/>
        <w:snapToGrid w:val="0"/>
        <w:spacing w:line="540" w:lineRule="exact"/>
        <w:ind w:firstLine="282" w:firstLineChars="94"/>
        <w:rPr>
          <w:rFonts w:hint="eastAsia" w:ascii="方正仿宋" w:hAnsi="黑体" w:eastAsia="方正仿宋"/>
          <w:sz w:val="30"/>
          <w:szCs w:val="30"/>
          <w:u w:val="single"/>
        </w:rPr>
      </w:pPr>
      <w:r>
        <w:rPr>
          <w:rFonts w:hint="eastAsia" w:ascii="方正仿宋" w:hAnsi="黑体" w:eastAsia="方正仿宋"/>
          <w:sz w:val="30"/>
          <w:szCs w:val="30"/>
        </w:rPr>
        <w:t>赛 题 名 称：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物流寄递涉案信息智能采集研判系统的开发与应用                                    </w:t>
      </w:r>
      <w:r>
        <w:rPr>
          <w:rFonts w:ascii="方正仿宋" w:hAnsi="黑体" w:eastAsia="方正仿宋"/>
          <w:sz w:val="30"/>
          <w:szCs w:val="30"/>
          <w:u w:val="single"/>
        </w:rPr>
        <w:t xml:space="preserve">       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       </w:t>
      </w:r>
    </w:p>
    <w:p w14:paraId="16F3D31B">
      <w:pPr>
        <w:adjustRightInd w:val="0"/>
        <w:snapToGrid w:val="0"/>
        <w:spacing w:line="540" w:lineRule="exact"/>
        <w:ind w:firstLine="282" w:firstLineChars="94"/>
        <w:rPr>
          <w:rFonts w:hint="eastAsia" w:ascii="方正仿宋" w:hAnsi="黑体" w:eastAsia="方正仿宋"/>
          <w:sz w:val="30"/>
          <w:szCs w:val="30"/>
        </w:rPr>
      </w:pPr>
      <w:r>
        <w:rPr>
          <w:rFonts w:hint="eastAsia" w:ascii="方正仿宋" w:hAnsi="黑体" w:eastAsia="方正仿宋"/>
          <w:sz w:val="30"/>
          <w:szCs w:val="30"/>
        </w:rPr>
        <w:t>参 赛 条 线：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专卖条线                                 </w:t>
      </w:r>
    </w:p>
    <w:p w14:paraId="75EE272E">
      <w:pPr>
        <w:adjustRightInd w:val="0"/>
        <w:snapToGrid w:val="0"/>
        <w:spacing w:line="540" w:lineRule="exact"/>
        <w:ind w:firstLine="282" w:firstLineChars="94"/>
        <w:jc w:val="left"/>
        <w:rPr>
          <w:rFonts w:hint="eastAsia" w:ascii="方正仿宋" w:hAnsi="黑体" w:eastAsia="方正仿宋"/>
          <w:sz w:val="30"/>
          <w:szCs w:val="30"/>
          <w:u w:val="single"/>
        </w:rPr>
      </w:pPr>
      <w:r>
        <w:rPr>
          <w:rFonts w:hint="eastAsia" w:ascii="方正仿宋" w:hAnsi="黑体" w:eastAsia="方正仿宋"/>
          <w:sz w:val="30"/>
          <w:szCs w:val="30"/>
        </w:rPr>
        <w:t>参 赛 单 位：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</w:t>
      </w:r>
      <w:r>
        <w:rPr>
          <w:rFonts w:ascii="方正仿宋" w:hAnsi="黑体" w:eastAsia="方正仿宋"/>
          <w:sz w:val="30"/>
          <w:szCs w:val="30"/>
          <w:u w:val="single"/>
        </w:rPr>
        <w:t xml:space="preserve">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湖北省烟草公司宜昌市公司 </w:t>
      </w:r>
      <w:r>
        <w:rPr>
          <w:rFonts w:ascii="方正仿宋" w:hAnsi="黑体" w:eastAsia="方正仿宋"/>
          <w:sz w:val="30"/>
          <w:szCs w:val="30"/>
          <w:u w:val="single"/>
        </w:rPr>
        <w:t xml:space="preserve">            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 </w:t>
      </w:r>
    </w:p>
    <w:p w14:paraId="2A44584D">
      <w:pPr>
        <w:adjustRightInd w:val="0"/>
        <w:snapToGrid w:val="0"/>
        <w:spacing w:line="540" w:lineRule="exact"/>
        <w:ind w:firstLine="282" w:firstLineChars="94"/>
        <w:rPr>
          <w:rFonts w:hint="eastAsia" w:ascii="仿宋_GB2312" w:hAnsi="仿宋_GB2312" w:eastAsia="仿宋_GB2312" w:cs="仿宋_GB2312"/>
          <w:sz w:val="30"/>
          <w:szCs w:val="30"/>
          <w:u w:val="single"/>
        </w:rPr>
      </w:pPr>
      <w:r>
        <w:rPr>
          <w:rFonts w:hint="eastAsia" w:ascii="方正仿宋" w:hAnsi="黑体" w:eastAsia="方正仿宋"/>
          <w:sz w:val="30"/>
          <w:szCs w:val="30"/>
        </w:rPr>
        <w:t>日       期：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</w:t>
      </w:r>
      <w:r>
        <w:rPr>
          <w:rFonts w:ascii="仿宋_GB2312" w:hAnsi="仿宋_GB2312" w:eastAsia="仿宋_GB2312" w:cs="仿宋_GB2312"/>
          <w:sz w:val="30"/>
          <w:szCs w:val="30"/>
          <w:u w:val="single"/>
        </w:rPr>
        <w:t>2025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年9月2日                             </w:t>
      </w:r>
    </w:p>
    <w:p w14:paraId="545E9336">
      <w:pPr>
        <w:widowControl/>
        <w:spacing w:line="540" w:lineRule="exact"/>
        <w:jc w:val="center"/>
        <w:rPr>
          <w:rFonts w:hint="eastAsia" w:ascii="宋体" w:hAnsi="宋体"/>
          <w:bCs/>
          <w:kern w:val="0"/>
          <w:sz w:val="28"/>
        </w:rPr>
        <w:sectPr>
          <w:pgSz w:w="11906" w:h="16838"/>
          <w:pgMar w:top="1440" w:right="1588" w:bottom="1440" w:left="1588" w:header="851" w:footer="992" w:gutter="0"/>
          <w:cols w:space="425" w:num="1"/>
          <w:docGrid w:type="lines" w:linePitch="312" w:charSpace="0"/>
        </w:sectPr>
      </w:pPr>
    </w:p>
    <w:p w14:paraId="698F5EA7">
      <w:pPr>
        <w:adjustRightInd w:val="0"/>
        <w:snapToGrid w:val="0"/>
        <w:spacing w:line="540" w:lineRule="exact"/>
        <w:jc w:val="center"/>
        <w:rPr>
          <w:rFonts w:ascii="方正小标宋简体" w:eastAsia="方正小标宋简体"/>
          <w:bCs/>
          <w:sz w:val="36"/>
          <w:szCs w:val="36"/>
        </w:rPr>
      </w:pPr>
    </w:p>
    <w:p w14:paraId="0BA2F3ED">
      <w:pPr>
        <w:adjustRightInd w:val="0"/>
        <w:snapToGrid w:val="0"/>
        <w:spacing w:line="540" w:lineRule="exact"/>
        <w:jc w:val="center"/>
        <w:rPr>
          <w:rFonts w:ascii="方正小标宋简体" w:eastAsia="方正小标宋简体"/>
          <w:bCs/>
          <w:sz w:val="36"/>
          <w:szCs w:val="36"/>
        </w:rPr>
      </w:pPr>
      <w:r>
        <w:rPr>
          <w:rFonts w:hint="eastAsia" w:ascii="方正小标宋简体" w:eastAsia="方正小标宋简体"/>
          <w:bCs/>
          <w:sz w:val="36"/>
          <w:szCs w:val="36"/>
        </w:rPr>
        <w:t>填 报 事 项</w:t>
      </w:r>
    </w:p>
    <w:p w14:paraId="3C2F14D2">
      <w:pPr>
        <w:spacing w:line="540" w:lineRule="exact"/>
        <w:ind w:firstLine="640" w:firstLineChars="200"/>
        <w:rPr>
          <w:rFonts w:eastAsia="方正仿宋"/>
          <w:sz w:val="32"/>
          <w:szCs w:val="32"/>
        </w:rPr>
      </w:pPr>
    </w:p>
    <w:p w14:paraId="2ACB5011">
      <w:pPr>
        <w:spacing w:line="540" w:lineRule="exact"/>
        <w:ind w:firstLine="640" w:firstLineChars="200"/>
        <w:rPr>
          <w:rFonts w:eastAsia="方正仿宋"/>
          <w:sz w:val="32"/>
          <w:szCs w:val="32"/>
        </w:rPr>
      </w:pPr>
      <w:r>
        <w:rPr>
          <w:rFonts w:eastAsia="方正仿宋"/>
          <w:sz w:val="32"/>
          <w:szCs w:val="32"/>
        </w:rPr>
        <w:t>一、</w:t>
      </w:r>
      <w:r>
        <w:rPr>
          <w:rFonts w:hint="eastAsia" w:eastAsia="方正仿宋"/>
          <w:sz w:val="32"/>
          <w:szCs w:val="32"/>
        </w:rPr>
        <w:t>根据示例规范完整填写成果物清单，仅需填写实际使用的成果，未使用的成果无须填写；其他临时性、测试性成果物统一以建立“备份测试”文件夹进行单独存放。</w:t>
      </w:r>
    </w:p>
    <w:p w14:paraId="04B7F3D5">
      <w:pPr>
        <w:spacing w:line="540" w:lineRule="exact"/>
        <w:ind w:firstLine="640" w:firstLineChars="200"/>
        <w:rPr>
          <w:rFonts w:eastAsia="方正仿宋"/>
          <w:sz w:val="32"/>
          <w:szCs w:val="32"/>
        </w:rPr>
      </w:pPr>
      <w:r>
        <w:rPr>
          <w:rFonts w:hint="eastAsia" w:eastAsia="方正仿宋"/>
          <w:sz w:val="32"/>
          <w:szCs w:val="32"/>
        </w:rPr>
        <w:t>二、使用</w:t>
      </w:r>
      <w:r>
        <w:rPr>
          <w:rFonts w:eastAsia="方正仿宋"/>
          <w:sz w:val="32"/>
          <w:szCs w:val="32"/>
        </w:rPr>
        <w:t>自采数据</w:t>
      </w:r>
      <w:r>
        <w:rPr>
          <w:rFonts w:hint="eastAsia" w:eastAsia="方正仿宋"/>
          <w:sz w:val="32"/>
          <w:szCs w:val="32"/>
        </w:rPr>
        <w:t>的</w:t>
      </w:r>
      <w:r>
        <w:rPr>
          <w:rFonts w:eastAsia="方正仿宋"/>
          <w:sz w:val="32"/>
          <w:szCs w:val="32"/>
        </w:rPr>
        <w:t>需</w:t>
      </w:r>
      <w:r>
        <w:rPr>
          <w:rFonts w:hint="eastAsia" w:eastAsia="方正仿宋"/>
          <w:sz w:val="32"/>
          <w:szCs w:val="32"/>
        </w:rPr>
        <w:t>配套</w:t>
      </w:r>
      <w:r>
        <w:rPr>
          <w:rFonts w:eastAsia="方正仿宋"/>
          <w:sz w:val="32"/>
          <w:szCs w:val="32"/>
        </w:rPr>
        <w:t>提供数据使用手册</w:t>
      </w:r>
      <w:r>
        <w:rPr>
          <w:rFonts w:hint="eastAsia" w:eastAsia="方正仿宋"/>
          <w:sz w:val="32"/>
          <w:szCs w:val="32"/>
        </w:rPr>
        <w:t>，并在手册中对脱敏数据项加“*”标注。</w:t>
      </w:r>
    </w:p>
    <w:p w14:paraId="30326501">
      <w:pPr>
        <w:tabs>
          <w:tab w:val="left" w:pos="2938"/>
        </w:tabs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方正楷体" w:hAnsi="方正楷体" w:eastAsia="方正楷体" w:cs="方正楷体"/>
          <w:sz w:val="32"/>
          <w:szCs w:val="32"/>
        </w:rPr>
      </w:pPr>
      <w:bookmarkStart w:id="0" w:name="_Toc27664"/>
    </w:p>
    <w:p w14:paraId="1859AC7C">
      <w:pPr>
        <w:tabs>
          <w:tab w:val="left" w:pos="2938"/>
        </w:tabs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方正楷体" w:hAnsi="方正楷体" w:eastAsia="方正楷体" w:cs="方正楷体"/>
          <w:sz w:val="32"/>
          <w:szCs w:val="32"/>
        </w:rPr>
      </w:pPr>
    </w:p>
    <w:p w14:paraId="433AD1B6">
      <w:pPr>
        <w:tabs>
          <w:tab w:val="left" w:pos="2938"/>
        </w:tabs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方正楷体" w:hAnsi="方正楷体" w:eastAsia="方正楷体" w:cs="方正楷体"/>
          <w:sz w:val="32"/>
          <w:szCs w:val="32"/>
        </w:rPr>
      </w:pPr>
    </w:p>
    <w:p w14:paraId="428C0397">
      <w:pPr>
        <w:tabs>
          <w:tab w:val="left" w:pos="2938"/>
        </w:tabs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方正楷体" w:hAnsi="方正楷体" w:eastAsia="方正楷体" w:cs="方正楷体"/>
          <w:sz w:val="32"/>
          <w:szCs w:val="32"/>
        </w:rPr>
      </w:pPr>
    </w:p>
    <w:p w14:paraId="107294D8">
      <w:pPr>
        <w:tabs>
          <w:tab w:val="left" w:pos="2938"/>
        </w:tabs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方正楷体" w:hAnsi="方正楷体" w:eastAsia="方正楷体" w:cs="方正楷体"/>
          <w:sz w:val="32"/>
          <w:szCs w:val="32"/>
        </w:rPr>
      </w:pPr>
    </w:p>
    <w:p w14:paraId="16C4E5E8">
      <w:pPr>
        <w:tabs>
          <w:tab w:val="left" w:pos="2938"/>
        </w:tabs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方正楷体" w:hAnsi="方正楷体" w:eastAsia="方正楷体" w:cs="方正楷体"/>
          <w:sz w:val="32"/>
          <w:szCs w:val="32"/>
        </w:rPr>
      </w:pPr>
    </w:p>
    <w:p w14:paraId="1AB4BB0B">
      <w:pPr>
        <w:tabs>
          <w:tab w:val="left" w:pos="2938"/>
        </w:tabs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方正楷体" w:hAnsi="方正楷体" w:eastAsia="方正楷体" w:cs="方正楷体"/>
          <w:sz w:val="32"/>
          <w:szCs w:val="32"/>
        </w:rPr>
      </w:pPr>
    </w:p>
    <w:p w14:paraId="22784C98">
      <w:pPr>
        <w:tabs>
          <w:tab w:val="left" w:pos="2938"/>
        </w:tabs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方正楷体" w:hAnsi="方正楷体" w:eastAsia="方正楷体" w:cs="方正楷体"/>
          <w:sz w:val="32"/>
          <w:szCs w:val="32"/>
        </w:rPr>
      </w:pPr>
    </w:p>
    <w:p w14:paraId="7C1F3483">
      <w:pPr>
        <w:tabs>
          <w:tab w:val="left" w:pos="2938"/>
        </w:tabs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方正楷体" w:hAnsi="方正楷体" w:eastAsia="方正楷体" w:cs="方正楷体"/>
          <w:sz w:val="32"/>
          <w:szCs w:val="32"/>
        </w:rPr>
      </w:pPr>
    </w:p>
    <w:bookmarkEnd w:id="0"/>
    <w:p w14:paraId="25473989">
      <w:pPr>
        <w:tabs>
          <w:tab w:val="left" w:pos="2721"/>
        </w:tabs>
        <w:adjustRightInd w:val="0"/>
        <w:snapToGrid w:val="0"/>
        <w:spacing w:line="540" w:lineRule="exact"/>
        <w:jc w:val="center"/>
        <w:rPr>
          <w:rFonts w:eastAsia="方正小标宋简体"/>
          <w:sz w:val="36"/>
          <w:szCs w:val="36"/>
        </w:rPr>
        <w:sectPr>
          <w:pgSz w:w="11906" w:h="16838"/>
          <w:pgMar w:top="1440" w:right="1803" w:bottom="1440" w:left="1803" w:header="851" w:footer="992" w:gutter="0"/>
          <w:cols w:space="0" w:num="1"/>
          <w:docGrid w:type="lines" w:linePitch="319" w:charSpace="0"/>
        </w:sectPr>
      </w:pPr>
      <w:bookmarkStart w:id="1" w:name="_Toc15121"/>
    </w:p>
    <w:p w14:paraId="46AFF870">
      <w:pPr>
        <w:tabs>
          <w:tab w:val="left" w:pos="2721"/>
        </w:tabs>
        <w:adjustRightInd w:val="0"/>
        <w:snapToGrid w:val="0"/>
        <w:spacing w:line="320" w:lineRule="auto"/>
        <w:jc w:val="center"/>
        <w:rPr>
          <w:rFonts w:eastAsia="方正仿宋"/>
          <w:b/>
          <w:bCs/>
          <w:sz w:val="32"/>
          <w:szCs w:val="32"/>
        </w:rPr>
      </w:pPr>
      <w:r>
        <w:rPr>
          <w:rFonts w:hint="eastAsia" w:ascii="方正黑体" w:eastAsia="方正黑体"/>
          <w:sz w:val="36"/>
          <w:szCs w:val="36"/>
        </w:rPr>
        <w:t>成果物清单</w:t>
      </w:r>
    </w:p>
    <w:tbl>
      <w:tblPr>
        <w:tblStyle w:val="6"/>
        <w:tblW w:w="485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1290"/>
        <w:gridCol w:w="2488"/>
        <w:gridCol w:w="3342"/>
      </w:tblGrid>
      <w:tr w14:paraId="389B9BEA">
        <w:trPr>
          <w:trHeight w:val="391" w:hRule="atLeast"/>
          <w:tblHeader/>
          <w:jc w:val="center"/>
        </w:trPr>
        <w:tc>
          <w:tcPr>
            <w:tcW w:w="699" w:type="pct"/>
            <w:vAlign w:val="center"/>
          </w:tcPr>
          <w:p w14:paraId="5B91D3BD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技术  工具</w:t>
            </w:r>
          </w:p>
        </w:tc>
        <w:tc>
          <w:tcPr>
            <w:tcW w:w="779" w:type="pct"/>
            <w:vAlign w:val="center"/>
          </w:tcPr>
          <w:p w14:paraId="53EF7AE4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成果物 类别</w:t>
            </w:r>
          </w:p>
        </w:tc>
        <w:tc>
          <w:tcPr>
            <w:tcW w:w="1503" w:type="pct"/>
            <w:vAlign w:val="center"/>
          </w:tcPr>
          <w:p w14:paraId="10BBB55D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成果物清单</w:t>
            </w:r>
          </w:p>
        </w:tc>
        <w:tc>
          <w:tcPr>
            <w:tcW w:w="2019" w:type="pct"/>
            <w:vAlign w:val="center"/>
          </w:tcPr>
          <w:p w14:paraId="59C9F609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成果物说明</w:t>
            </w:r>
          </w:p>
        </w:tc>
      </w:tr>
      <w:tr w14:paraId="40226AA6">
        <w:trPr>
          <w:trHeight w:val="854" w:hRule="atLeast"/>
          <w:jc w:val="center"/>
        </w:trPr>
        <w:tc>
          <w:tcPr>
            <w:tcW w:w="699" w:type="pct"/>
            <w:vMerge w:val="restart"/>
            <w:vAlign w:val="center"/>
          </w:tcPr>
          <w:p w14:paraId="6D0BA2F6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QUICKBI</w:t>
            </w:r>
          </w:p>
        </w:tc>
        <w:tc>
          <w:tcPr>
            <w:tcW w:w="779" w:type="pct"/>
            <w:vAlign w:val="center"/>
          </w:tcPr>
          <w:p w14:paraId="60F06B7A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数据大屏</w:t>
            </w:r>
          </w:p>
        </w:tc>
        <w:tc>
          <w:tcPr>
            <w:tcW w:w="1503" w:type="pct"/>
            <w:vAlign w:val="center"/>
          </w:tcPr>
          <w:p w14:paraId="2B441AF7">
            <w:pPr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1.宜昌</w:t>
            </w:r>
            <w:r>
              <w:rPr>
                <w:rFonts w:ascii="宋体" w:hAnsi="宋体" w:eastAsia="宋体" w:cs="宋体"/>
                <w:sz w:val="24"/>
                <w:szCs w:val="24"/>
              </w:rPr>
              <w:t>烟草物流寄递数据分析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大屏</w:t>
            </w:r>
          </w:p>
          <w:p w14:paraId="6D034FA6">
            <w:pPr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2.查案辅助驾驶舱</w:t>
            </w:r>
          </w:p>
        </w:tc>
        <w:tc>
          <w:tcPr>
            <w:tcW w:w="2019" w:type="pct"/>
            <w:vAlign w:val="center"/>
          </w:tcPr>
          <w:p w14:paraId="7489E02C">
            <w:pPr>
              <w:adjustRightInd w:val="0"/>
              <w:snapToGrid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分析展示宜昌烟草物流寄递案件采集数据整体情况。展示全宜昌市查获快递案件情况、全国主要发件城市、主要查获品规等数据，应用成果入口地址：</w:t>
            </w:r>
            <w:r>
              <w:fldChar w:fldCharType="begin"/>
            </w:r>
            <w:r>
              <w:instrText xml:space="preserve"> HYPERLINK "https://quickbi.hb.yc/t/aEVJze" </w:instrText>
            </w:r>
            <w:r>
              <w:fldChar w:fldCharType="separate"/>
            </w:r>
            <w:r>
              <w:rPr>
                <w:rStyle w:val="9"/>
              </w:rPr>
              <w:t>https://quickbi.hb.yc/t/aEVJze</w:t>
            </w:r>
            <w:r>
              <w:rPr>
                <w:rStyle w:val="9"/>
              </w:rPr>
              <w:fldChar w:fldCharType="end"/>
            </w:r>
            <w:r>
              <w:rPr>
                <w:rFonts w:hint="eastAsia"/>
              </w:rPr>
              <w:t>。</w:t>
            </w:r>
          </w:p>
          <w:p w14:paraId="6D653F01">
            <w:pPr>
              <w:widowControl/>
              <w:rPr>
                <w:rFonts w:hint="eastAsia" w:ascii="仿宋_GB2312" w:hAnsi="宋体" w:eastAsia="仿宋_GB2312"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2.对采集到的物流寄递查获数据智能研判，辅助专卖市管员办理大要案件查找线索。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展示高频发件、收件人及地点信息分布，高频揽件人姓名排行榜等可视化图表。</w:t>
            </w:r>
            <w:r>
              <w:rPr>
                <w:rFonts w:ascii="宋体" w:hAnsi="宋体" w:eastAsia="宋体"/>
                <w:bCs/>
                <w:sz w:val="32"/>
                <w:szCs w:val="32"/>
              </w:rPr>
              <w:t xml:space="preserve"> </w:t>
            </w:r>
          </w:p>
          <w:p w14:paraId="0FB3BA7B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入口地址：</w:t>
            </w:r>
            <w:r>
              <w:fldChar w:fldCharType="begin"/>
            </w:r>
            <w:r>
              <w:instrText xml:space="preserve"> HYPERLINK "https://quickbi.hb.yc/t/7nmUJb" </w:instrText>
            </w:r>
            <w:r>
              <w:fldChar w:fldCharType="separate"/>
            </w:r>
            <w:r>
              <w:rPr>
                <w:rStyle w:val="9"/>
              </w:rPr>
              <w:t>https://quickbi.hb.yc/t/7nmUJb</w:t>
            </w:r>
            <w:r>
              <w:rPr>
                <w:rStyle w:val="9"/>
              </w:rPr>
              <w:fldChar w:fldCharType="end"/>
            </w:r>
            <w:r>
              <w:rPr>
                <w:rFonts w:hint="eastAsia"/>
              </w:rPr>
              <w:t>。</w:t>
            </w:r>
          </w:p>
        </w:tc>
      </w:tr>
      <w:tr w14:paraId="769CF6AD">
        <w:trPr>
          <w:trHeight w:val="1460" w:hRule="atLeast"/>
          <w:jc w:val="center"/>
        </w:trPr>
        <w:tc>
          <w:tcPr>
            <w:tcW w:w="699" w:type="pct"/>
            <w:vMerge w:val="continue"/>
            <w:vAlign w:val="center"/>
          </w:tcPr>
          <w:p w14:paraId="3C2769A1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34C1D9AC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数据源</w:t>
            </w:r>
          </w:p>
        </w:tc>
        <w:tc>
          <w:tcPr>
            <w:tcW w:w="1503" w:type="pct"/>
            <w:vAlign w:val="center"/>
          </w:tcPr>
          <w:p w14:paraId="2DF4B3DB">
            <w:pPr>
              <w:numPr>
                <w:ilvl w:val="0"/>
                <w:numId w:val="1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数据库test（数据源类别：自建）</w:t>
            </w:r>
            <w:bookmarkStart w:id="2" w:name="_GoBack"/>
            <w:bookmarkEnd w:id="2"/>
          </w:p>
        </w:tc>
        <w:tc>
          <w:tcPr>
            <w:tcW w:w="2019" w:type="pct"/>
            <w:vAlign w:val="center"/>
          </w:tcPr>
          <w:p w14:paraId="512F2E15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数据表包含快递查获日期、快递公司名称、快递单号、发件人信息、收件人信息、揽件人信息等2</w:t>
            </w: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个字段。</w:t>
            </w:r>
          </w:p>
          <w:p w14:paraId="768156BD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数据表包含快递单号、卷烟条码、卷烟名称、卷烟数量、卷烟类型及价值等6个字段。</w:t>
            </w:r>
          </w:p>
        </w:tc>
      </w:tr>
      <w:tr w14:paraId="712E1597">
        <w:trPr>
          <w:trHeight w:val="945" w:hRule="atLeast"/>
          <w:jc w:val="center"/>
        </w:trPr>
        <w:tc>
          <w:tcPr>
            <w:tcW w:w="699" w:type="pct"/>
            <w:vMerge w:val="continue"/>
            <w:vAlign w:val="center"/>
          </w:tcPr>
          <w:p w14:paraId="36896764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069982EA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数据集</w:t>
            </w:r>
          </w:p>
        </w:tc>
        <w:tc>
          <w:tcPr>
            <w:tcW w:w="1503" w:type="pct"/>
            <w:vAlign w:val="center"/>
          </w:tcPr>
          <w:p w14:paraId="702E529C">
            <w:pPr>
              <w:numPr>
                <w:ilvl w:val="0"/>
                <w:numId w:val="2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快递面单数据集</w:t>
            </w:r>
          </w:p>
        </w:tc>
        <w:tc>
          <w:tcPr>
            <w:tcW w:w="2019" w:type="pct"/>
            <w:vAlign w:val="center"/>
          </w:tcPr>
          <w:p w14:paraId="5E155C20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包含express_info、ciginfo、cigdata三个表，express_info 和ciginfo通过expressid(快递单号)关联</w:t>
            </w:r>
          </w:p>
        </w:tc>
      </w:tr>
      <w:tr w14:paraId="45410BB8">
        <w:trPr>
          <w:trHeight w:val="735" w:hRule="atLeast"/>
          <w:jc w:val="center"/>
        </w:trPr>
        <w:tc>
          <w:tcPr>
            <w:tcW w:w="699" w:type="pct"/>
            <w:vMerge w:val="restart"/>
            <w:vAlign w:val="center"/>
          </w:tcPr>
          <w:p w14:paraId="6834B437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低代码开发</w:t>
            </w:r>
          </w:p>
        </w:tc>
        <w:tc>
          <w:tcPr>
            <w:tcW w:w="779" w:type="pct"/>
            <w:vAlign w:val="center"/>
          </w:tcPr>
          <w:p w14:paraId="756AD87F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应用</w:t>
            </w:r>
          </w:p>
        </w:tc>
        <w:tc>
          <w:tcPr>
            <w:tcW w:w="1503" w:type="pct"/>
            <w:vAlign w:val="center"/>
          </w:tcPr>
          <w:p w14:paraId="72544B7F">
            <w:pPr>
              <w:numPr>
                <w:ilvl w:val="0"/>
                <w:numId w:val="3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快递面单识别工具</w:t>
            </w:r>
          </w:p>
        </w:tc>
        <w:tc>
          <w:tcPr>
            <w:tcW w:w="2019" w:type="pct"/>
            <w:vAlign w:val="center"/>
          </w:tcPr>
          <w:p w14:paraId="175A6022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该应用为手机端应用，实现快递面单自动识别、包裹信息查询、揽件人信息查询、查获卷烟品规扫码识别、历史查获记录提醒、数据上报等功能。入口地址为：</w:t>
            </w:r>
          </w:p>
          <w:p w14:paraId="7147FEBB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"https://ddm.sj.tobaccohb.com.cn/qflow/f/bksbuimc1k01" </w:instrText>
            </w:r>
            <w:r>
              <w:fldChar w:fldCharType="separate"/>
            </w:r>
            <w:r>
              <w:rPr>
                <w:rStyle w:val="9"/>
              </w:rPr>
              <w:t>https://ddm.sj.tobaccohb.com.cn/qflow/f/bksbuimc1k01</w:t>
            </w:r>
            <w:r>
              <w:rPr>
                <w:rStyle w:val="9"/>
              </w:rPr>
              <w:fldChar w:fldCharType="end"/>
            </w:r>
            <w:r>
              <w:rPr>
                <w:rFonts w:hint="eastAsia"/>
              </w:rPr>
              <w:t>。</w:t>
            </w:r>
          </w:p>
          <w:p w14:paraId="5EFED914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9E0E93D">
        <w:trPr>
          <w:trHeight w:val="1823" w:hRule="atLeast"/>
          <w:jc w:val="center"/>
        </w:trPr>
        <w:tc>
          <w:tcPr>
            <w:tcW w:w="699" w:type="pct"/>
            <w:vMerge w:val="continue"/>
            <w:vAlign w:val="center"/>
          </w:tcPr>
          <w:p w14:paraId="5F06E166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64356354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表单</w:t>
            </w:r>
          </w:p>
        </w:tc>
        <w:tc>
          <w:tcPr>
            <w:tcW w:w="1503" w:type="pct"/>
            <w:vAlign w:val="center"/>
          </w:tcPr>
          <w:p w14:paraId="7AC67AEF">
            <w:pPr>
              <w:numPr>
                <w:ilvl w:val="0"/>
                <w:numId w:val="4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卷烟品规库（表单类型：普通）</w:t>
            </w:r>
          </w:p>
          <w:p w14:paraId="329D01D4">
            <w:pPr>
              <w:numPr>
                <w:ilvl w:val="0"/>
                <w:numId w:val="4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快递面单工具之查获卷烟品规（表单类型：普通）</w:t>
            </w:r>
          </w:p>
          <w:p w14:paraId="702FABB2">
            <w:pPr>
              <w:numPr>
                <w:ilvl w:val="0"/>
                <w:numId w:val="4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使用we</w:t>
            </w:r>
            <w:r>
              <w:rPr>
                <w:rFonts w:ascii="宋体" w:hAnsi="宋体" w:eastAsia="宋体" w:cs="宋体"/>
                <w:sz w:val="24"/>
                <w:szCs w:val="24"/>
              </w:rPr>
              <w:t>bhook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自动写入数据库（流程）</w:t>
            </w:r>
          </w:p>
          <w:p w14:paraId="28798BF4">
            <w:pPr>
              <w:numPr>
                <w:ilvl w:val="0"/>
                <w:numId w:val="4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使用Q-robot自动添加数据（流程）</w:t>
            </w:r>
          </w:p>
        </w:tc>
        <w:tc>
          <w:tcPr>
            <w:tcW w:w="2019" w:type="pct"/>
            <w:vAlign w:val="center"/>
          </w:tcPr>
          <w:p w14:paraId="20257931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该表单保存的是在销的全部卷烟品规信息，与“快递面单识别工具”中的扫描卷烟条码、卷烟品规等字段关联，录入正确的卷烟条码或盒码后，卷烟品规名称、单条零售价等字段数据自动显示，提升业务人员录入查获卷烟信息工作效率。</w:t>
            </w:r>
          </w:p>
          <w:p w14:paraId="45EFB3F6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入口地址：</w:t>
            </w:r>
          </w:p>
          <w:p w14:paraId="3C915879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fldChar w:fldCharType="begin"/>
            </w:r>
            <w:r>
              <w:instrText xml:space="preserve"> HYPERLINK "https://ddm.sj.tobaccohb.com.cn/qflow/f/blon4dps1c02" </w:instrText>
            </w:r>
            <w:r>
              <w:fldChar w:fldCharType="separate"/>
            </w:r>
            <w:r>
              <w:rPr>
                <w:rStyle w:val="9"/>
                <w:rFonts w:ascii="宋体" w:hAnsi="宋体" w:eastAsia="宋体" w:cs="宋体"/>
                <w:sz w:val="22"/>
                <w:szCs w:val="24"/>
              </w:rPr>
              <w:t>https://ddm.sj.tobaccohb.com.cn/qflow/f/blon4dps1c02</w:t>
            </w:r>
            <w:r>
              <w:rPr>
                <w:rStyle w:val="9"/>
                <w:rFonts w:ascii="宋体" w:hAnsi="宋体" w:eastAsia="宋体" w:cs="宋体"/>
                <w:sz w:val="22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2"/>
                <w:szCs w:val="24"/>
              </w:rPr>
              <w:t>。</w:t>
            </w:r>
          </w:p>
          <w:p w14:paraId="67DBE373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该表单保存的是“快递面单识别工具”中“录入的查获品规相关数据，并将新添加的数据通过API接口写入数据库。</w:t>
            </w:r>
          </w:p>
          <w:p w14:paraId="1055170A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“快递面单识别工具”在流程中加入we</w:t>
            </w:r>
            <w:r>
              <w:rPr>
                <w:rFonts w:ascii="宋体" w:hAnsi="宋体" w:eastAsia="宋体" w:cs="宋体"/>
                <w:sz w:val="24"/>
                <w:szCs w:val="24"/>
              </w:rPr>
              <w:t>bhook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，实现自动将采集到的快递面单信息相关数据通过API接口写入数据库。</w:t>
            </w:r>
          </w:p>
          <w:p w14:paraId="7A46D82D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“快递面单识别工具”在流程中加入Q-ro</w:t>
            </w:r>
            <w:r>
              <w:rPr>
                <w:rFonts w:ascii="宋体" w:hAnsi="宋体" w:eastAsia="宋体" w:cs="宋体"/>
                <w:sz w:val="24"/>
                <w:szCs w:val="24"/>
              </w:rPr>
              <w:t>bot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自动添加数据到“快递面单工具之查获卷烟品规”。</w:t>
            </w:r>
          </w:p>
        </w:tc>
      </w:tr>
      <w:tr w14:paraId="4B6FA872">
        <w:trPr>
          <w:trHeight w:val="735" w:hRule="atLeast"/>
          <w:jc w:val="center"/>
        </w:trPr>
        <w:tc>
          <w:tcPr>
            <w:tcW w:w="699" w:type="pct"/>
            <w:vMerge w:val="continue"/>
            <w:vAlign w:val="center"/>
          </w:tcPr>
          <w:p w14:paraId="0BCDDFCC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1BE104F5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连接器</w:t>
            </w:r>
          </w:p>
        </w:tc>
        <w:tc>
          <w:tcPr>
            <w:tcW w:w="1503" w:type="pct"/>
            <w:vAlign w:val="center"/>
          </w:tcPr>
          <w:p w14:paraId="1D42ADE7">
            <w:pPr>
              <w:numPr>
                <w:ilvl w:val="0"/>
                <w:numId w:val="5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智谱AI大模型接口调用</w:t>
            </w:r>
          </w:p>
        </w:tc>
        <w:tc>
          <w:tcPr>
            <w:tcW w:w="2019" w:type="pct"/>
            <w:vAlign w:val="center"/>
          </w:tcPr>
          <w:p w14:paraId="158F1431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调用智谱AI语言模型GLM-</w:t>
            </w: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v系列，运用GLM</w:t>
            </w:r>
            <w:r>
              <w:rPr>
                <w:rFonts w:ascii="宋体" w:hAnsi="宋体" w:eastAsia="宋体" w:cs="宋体"/>
                <w:sz w:val="24"/>
                <w:szCs w:val="24"/>
              </w:rPr>
              <w:t>-4.5v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视觉大模型，对已拍照的快递包裹面单图片实现内容自动识别和格式化输出，完成快递单号、快递公司以及寄、收件人信息等数据智能提取。</w:t>
            </w:r>
            <w:r>
              <w:t xml:space="preserve"> </w:t>
            </w:r>
            <w:r>
              <w:rPr>
                <w:rFonts w:hint="eastAsia"/>
                <w:sz w:val="24"/>
                <w:szCs w:val="24"/>
              </w:rPr>
              <w:t>API接口地址：</w:t>
            </w:r>
            <w:r>
              <w:fldChar w:fldCharType="begin"/>
            </w:r>
            <w:r>
              <w:instrText xml:space="preserve"> HYPERLINK "https://open.bigmodel.cn/api/paas/v4/chat/completions" </w:instrText>
            </w:r>
            <w: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https://open.bigmodel.cn/api/paas/v4/chat/completions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443CEE2B">
        <w:trPr>
          <w:trHeight w:val="735" w:hRule="atLeast"/>
          <w:jc w:val="center"/>
        </w:trPr>
        <w:tc>
          <w:tcPr>
            <w:tcW w:w="699" w:type="pct"/>
            <w:vMerge w:val="restart"/>
            <w:vAlign w:val="center"/>
          </w:tcPr>
          <w:p w14:paraId="199D6893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highlight w:val="yellow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AI智能体</w:t>
            </w:r>
          </w:p>
        </w:tc>
        <w:tc>
          <w:tcPr>
            <w:tcW w:w="779" w:type="pct"/>
            <w:vAlign w:val="center"/>
          </w:tcPr>
          <w:p w14:paraId="11DECD65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智能体</w:t>
            </w:r>
          </w:p>
        </w:tc>
        <w:tc>
          <w:tcPr>
            <w:tcW w:w="1503" w:type="pct"/>
            <w:vAlign w:val="center"/>
          </w:tcPr>
          <w:p w14:paraId="063B1C71">
            <w:pPr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案件信息智能查询AI助手</w:t>
            </w:r>
          </w:p>
        </w:tc>
        <w:tc>
          <w:tcPr>
            <w:tcW w:w="2019" w:type="pct"/>
            <w:vAlign w:val="center"/>
          </w:tcPr>
          <w:p w14:paraId="33A848E3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本地部署Vanna框架用于自然语言生成SQL，本地部署dify平台并搭建工作流，实现了自然语言提问，AI自动转化为SQL查询语句，查询数据库展示结果，并根据用户要求将查询结果绘制成Echarts图表，或生成简要数据分析报告。入口地址:</w:t>
            </w:r>
          </w:p>
          <w:p w14:paraId="25419832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fldChar w:fldCharType="begin"/>
            </w:r>
            <w:r>
              <w:instrText xml:space="preserve"> HYPERLINK "http://10.69.156.164:12313/" \l "/http://10.69.156.8/chat/batgSpfLDcC5ldgT" </w:instrText>
            </w:r>
            <w:r>
              <w:fldChar w:fldCharType="separate"/>
            </w:r>
            <w:r>
              <w:rPr>
                <w:rStyle w:val="9"/>
                <w:rFonts w:ascii="宋体" w:hAnsi="宋体" w:eastAsia="宋体" w:cs="宋体"/>
                <w:sz w:val="22"/>
                <w:szCs w:val="24"/>
              </w:rPr>
              <w:t>http://10.69.156.164:12313/#/http://10.69.156.8/chat/batgSpfLDcC5ldgT</w:t>
            </w:r>
            <w:r>
              <w:rPr>
                <w:rStyle w:val="9"/>
                <w:rFonts w:ascii="宋体" w:hAnsi="宋体" w:eastAsia="宋体" w:cs="宋体"/>
                <w:sz w:val="22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2"/>
                <w:szCs w:val="24"/>
              </w:rPr>
              <w:t>。</w:t>
            </w:r>
          </w:p>
          <w:p w14:paraId="659EB857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2"/>
                <w:szCs w:val="24"/>
                <w:highlight w:val="yellow"/>
              </w:rPr>
            </w:pPr>
          </w:p>
        </w:tc>
      </w:tr>
      <w:tr w14:paraId="1188233F">
        <w:trPr>
          <w:trHeight w:val="735" w:hRule="atLeast"/>
          <w:jc w:val="center"/>
        </w:trPr>
        <w:tc>
          <w:tcPr>
            <w:tcW w:w="699" w:type="pct"/>
            <w:vMerge w:val="continue"/>
            <w:vAlign w:val="center"/>
          </w:tcPr>
          <w:p w14:paraId="7CCF501B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highlight w:val="yellow"/>
              </w:rPr>
            </w:pPr>
          </w:p>
        </w:tc>
        <w:tc>
          <w:tcPr>
            <w:tcW w:w="779" w:type="pct"/>
            <w:vAlign w:val="center"/>
          </w:tcPr>
          <w:p w14:paraId="2F013AA9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服务器</w:t>
            </w:r>
          </w:p>
        </w:tc>
        <w:tc>
          <w:tcPr>
            <w:tcW w:w="1503" w:type="pct"/>
            <w:vAlign w:val="center"/>
          </w:tcPr>
          <w:p w14:paraId="5643AF4D">
            <w:pPr>
              <w:numPr>
                <w:ilvl w:val="0"/>
                <w:numId w:val="6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服务器配置（CPU、内存、GPU等）</w:t>
            </w:r>
          </w:p>
        </w:tc>
        <w:tc>
          <w:tcPr>
            <w:tcW w:w="2019" w:type="pct"/>
            <w:vAlign w:val="center"/>
          </w:tcPr>
          <w:p w14:paraId="44DFA31B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CPU:Intel Core i9-12900K</w:t>
            </w:r>
          </w:p>
          <w:p w14:paraId="1223AB3F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内存：96GB</w:t>
            </w:r>
          </w:p>
          <w:p w14:paraId="51751978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2"/>
                <w:highlight w:val="yellow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GPU：NVIDIA GeForce RTX 3060Ti</w:t>
            </w:r>
          </w:p>
        </w:tc>
      </w:tr>
      <w:tr w14:paraId="5A3CBFB6">
        <w:trPr>
          <w:trHeight w:val="735" w:hRule="atLeast"/>
          <w:jc w:val="center"/>
        </w:trPr>
        <w:tc>
          <w:tcPr>
            <w:tcW w:w="699" w:type="pct"/>
            <w:vMerge w:val="continue"/>
            <w:vAlign w:val="center"/>
          </w:tcPr>
          <w:p w14:paraId="7CA8A1E9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highlight w:val="yellow"/>
              </w:rPr>
            </w:pPr>
          </w:p>
        </w:tc>
        <w:tc>
          <w:tcPr>
            <w:tcW w:w="779" w:type="pct"/>
            <w:vAlign w:val="center"/>
          </w:tcPr>
          <w:p w14:paraId="34E840A8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开发平台</w:t>
            </w:r>
          </w:p>
        </w:tc>
        <w:tc>
          <w:tcPr>
            <w:tcW w:w="1503" w:type="pct"/>
            <w:vAlign w:val="center"/>
          </w:tcPr>
          <w:p w14:paraId="5EDD8B55">
            <w:pPr>
              <w:numPr>
                <w:ilvl w:val="0"/>
                <w:numId w:val="7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项目工程文件、代码</w:t>
            </w:r>
          </w:p>
        </w:tc>
        <w:tc>
          <w:tcPr>
            <w:tcW w:w="2019" w:type="pct"/>
            <w:vAlign w:val="center"/>
          </w:tcPr>
          <w:p w14:paraId="5E130A42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Vanna本地部署源文件</w:t>
            </w:r>
          </w:p>
          <w:p w14:paraId="63F89B50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Dify工作流</w:t>
            </w:r>
          </w:p>
        </w:tc>
      </w:tr>
      <w:tr w14:paraId="02A7475A">
        <w:trPr>
          <w:trHeight w:val="735" w:hRule="atLeast"/>
          <w:jc w:val="center"/>
        </w:trPr>
        <w:tc>
          <w:tcPr>
            <w:tcW w:w="699" w:type="pct"/>
            <w:vMerge w:val="continue"/>
            <w:vAlign w:val="center"/>
          </w:tcPr>
          <w:p w14:paraId="59231257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highlight w:val="yellow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B3D0295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大模型</w:t>
            </w:r>
          </w:p>
        </w:tc>
        <w:tc>
          <w:tcPr>
            <w:tcW w:w="1503" w:type="pct"/>
            <w:vAlign w:val="center"/>
          </w:tcPr>
          <w:p w14:paraId="5A02DE43">
            <w:pPr>
              <w:numPr>
                <w:ilvl w:val="0"/>
                <w:numId w:val="8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GLM-</w:t>
            </w: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v视觉大模型</w:t>
            </w:r>
          </w:p>
          <w:p w14:paraId="4C0111B7">
            <w:pPr>
              <w:numPr>
                <w:ilvl w:val="0"/>
                <w:numId w:val="8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DeepSeek R1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模型</w:t>
            </w:r>
          </w:p>
        </w:tc>
        <w:tc>
          <w:tcPr>
            <w:tcW w:w="2019" w:type="pct"/>
            <w:vAlign w:val="center"/>
          </w:tcPr>
          <w:p w14:paraId="427CF986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GLM-4.5v,GLM-4-flash,DeepSeek R1 14b</w:t>
            </w:r>
          </w:p>
        </w:tc>
      </w:tr>
      <w:tr w14:paraId="383E1155">
        <w:trPr>
          <w:trHeight w:val="735" w:hRule="atLeast"/>
          <w:jc w:val="center"/>
        </w:trPr>
        <w:tc>
          <w:tcPr>
            <w:tcW w:w="699" w:type="pct"/>
            <w:vMerge w:val="restart"/>
            <w:vAlign w:val="center"/>
          </w:tcPr>
          <w:p w14:paraId="0449D534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HTML+JS</w:t>
            </w:r>
          </w:p>
        </w:tc>
        <w:tc>
          <w:tcPr>
            <w:tcW w:w="779" w:type="pct"/>
            <w:vAlign w:val="center"/>
          </w:tcPr>
          <w:p w14:paraId="29C8D85F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应用</w:t>
            </w:r>
          </w:p>
        </w:tc>
        <w:tc>
          <w:tcPr>
            <w:tcW w:w="1503" w:type="pct"/>
            <w:vAlign w:val="center"/>
          </w:tcPr>
          <w:p w14:paraId="21BCB829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宜昌烟草快递面单识别系统（PC端）</w:t>
            </w:r>
          </w:p>
        </w:tc>
        <w:tc>
          <w:tcPr>
            <w:tcW w:w="2019" w:type="pct"/>
            <w:vAlign w:val="center"/>
          </w:tcPr>
          <w:p w14:paraId="32DBA2DE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实现PC端快递面单识别工具，采用HTML+javascript开发，调用GLM-4</w:t>
            </w:r>
            <w:r>
              <w:rPr>
                <w:rFonts w:ascii="宋体" w:hAnsi="宋体" w:eastAsia="宋体" w:cs="宋体"/>
                <w:sz w:val="24"/>
                <w:szCs w:val="24"/>
              </w:rPr>
              <w:t>.5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v视觉大模型，对快递面单照片进行智能识别，同时调用阿里云的快递信息查询API接口，根据快递单号获取真实的揽件地址、揽件人信息。将上述信息罗列成表格，为用户提供面单照片预览功能，供用户核对修改识别信息，确认无误以后将数据写入后台数据库并提供导出为Excel功能。</w:t>
            </w:r>
          </w:p>
          <w:p w14:paraId="61C0E86E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入口地址：</w:t>
            </w:r>
          </w:p>
          <w:p w14:paraId="1A5DC29B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"http://10.69.156.164:12313/" \l "/scantool.html" </w:instrText>
            </w:r>
            <w: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http://10.69.156.164:12313/#/scantool.html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367CA44D">
        <w:trPr>
          <w:trHeight w:val="735" w:hRule="atLeast"/>
          <w:jc w:val="center"/>
        </w:trPr>
        <w:tc>
          <w:tcPr>
            <w:tcW w:w="699" w:type="pct"/>
            <w:vMerge w:val="continue"/>
            <w:vAlign w:val="center"/>
          </w:tcPr>
          <w:p w14:paraId="02F7437B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62E47722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自建接口程序</w:t>
            </w:r>
          </w:p>
        </w:tc>
        <w:tc>
          <w:tcPr>
            <w:tcW w:w="1503" w:type="pct"/>
            <w:vAlign w:val="center"/>
          </w:tcPr>
          <w:p w14:paraId="6ABFC557">
            <w:pPr>
              <w:numPr>
                <w:ilvl w:val="0"/>
                <w:numId w:val="9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查询揽件信息接口</w:t>
            </w:r>
          </w:p>
          <w:p w14:paraId="5A029975">
            <w:pPr>
              <w:numPr>
                <w:ilvl w:val="0"/>
                <w:numId w:val="9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查询收寄件人信息接口</w:t>
            </w:r>
          </w:p>
          <w:p w14:paraId="30C60B33">
            <w:pPr>
              <w:numPr>
                <w:ilvl w:val="0"/>
                <w:numId w:val="9"/>
              </w:num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快递面单采集数据写入数据库接口</w:t>
            </w:r>
          </w:p>
          <w:p w14:paraId="71BB4F0F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查获卷烟品规写入数据库接口</w:t>
            </w:r>
          </w:p>
        </w:tc>
        <w:tc>
          <w:tcPr>
            <w:tcW w:w="2019" w:type="pct"/>
            <w:vAlign w:val="center"/>
          </w:tcPr>
          <w:p w14:paraId="326B55FF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该接口通过调用阿里云的快递信息查询API接口，根据快递单号获取包裹投递路线信息，并调用GLM-4-flash大模型分析第一条揽收记录</w:t>
            </w:r>
            <w:r>
              <w:drawing>
                <wp:inline distT="0" distB="0" distL="0" distR="0">
                  <wp:extent cx="2816225" cy="318770"/>
                  <wp:effectExtent l="0" t="0" r="3175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151" cy="32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，提取出真实的揽件人姓名、揽件人电话、揽件地址、揽件时间，为专卖业务人员办案提供线索，接口地址：</w:t>
            </w:r>
            <w:r>
              <w:fldChar w:fldCharType="begin"/>
            </w:r>
            <w:r>
              <w:instrText xml:space="preserve"> HYPERLINK "http://10.69.156.164:7000/query" </w:instrText>
            </w:r>
            <w: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http://10.69.156.164:7000/query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 w14:paraId="5ACED60D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对当前自动识别出的快递面单信息，通过该接口查询出数据池中是否存在相关记录数据，在“当前收寄件人被查获次数”字段中显示。为专卖业务人员办案提供线索关联，接口地址：</w:t>
            </w:r>
          </w:p>
          <w:p w14:paraId="4BF69653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"http://10.69.156.164:12313/searchhis.asp" </w:instrText>
            </w:r>
            <w: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http://10.69.156.164:12313/searchhis.asp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 w14:paraId="4DF1D3AE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由于目前轻流仅支持读数据，无法写数据，该接口将自动识别的快递面单信息写入数据库。接口地址：</w:t>
            </w:r>
          </w:p>
          <w:p w14:paraId="515298C5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"http://10.69.156.164:12313/insertdata.asp" </w:instrText>
            </w:r>
            <w: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http://10.69.156.164:12313/insertdata.asp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 w14:paraId="68BBA03F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该接口实现将查获的卷烟品规写入数据库。接口地址：</w:t>
            </w:r>
          </w:p>
          <w:p w14:paraId="39D4DF05">
            <w:pPr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"http://10.69.156.164:12313/insertcig.asp" </w:instrText>
            </w:r>
            <w: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http://10.69.156.164:12313/insertcig.asp</w:t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</w:tc>
      </w:tr>
      <w:bookmarkEnd w:id="1"/>
    </w:tbl>
    <w:p w14:paraId="2DD66F90">
      <w:pPr>
        <w:adjustRightInd w:val="0"/>
        <w:snapToGrid w:val="0"/>
        <w:spacing w:line="540" w:lineRule="exact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DAF465B">
      <w:pPr>
        <w:adjustRightInd w:val="0"/>
        <w:snapToGrid w:val="0"/>
        <w:spacing w:line="540" w:lineRule="exact"/>
        <w:jc w:val="left"/>
        <w:rPr>
          <w:rFonts w:hint="eastAsia" w:ascii="黑体" w:hAnsi="黑体" w:eastAsia="黑体" w:cs="黑体"/>
          <w:sz w:val="30"/>
          <w:szCs w:val="30"/>
        </w:rPr>
      </w:pPr>
    </w:p>
    <w:p w14:paraId="4F4B6323">
      <w:pPr>
        <w:adjustRightInd w:val="0"/>
        <w:snapToGrid w:val="0"/>
        <w:spacing w:line="540" w:lineRule="exact"/>
        <w:jc w:val="left"/>
        <w:rPr>
          <w:rFonts w:hint="eastAsia" w:ascii="黑体" w:hAnsi="黑体" w:eastAsia="黑体" w:cs="黑体"/>
          <w:sz w:val="30"/>
          <w:szCs w:val="30"/>
        </w:rPr>
      </w:pPr>
    </w:p>
    <w:p w14:paraId="28DBDD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方正楷体">
    <w:altName w:val="楷体_GB2312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仿宋">
    <w:altName w:val="仿宋-简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">
    <w:altName w:val="汉仪中黑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24F5F3"/>
    <w:multiLevelType w:val="singleLevel"/>
    <w:tmpl w:val="C224F5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3643A20"/>
    <w:multiLevelType w:val="singleLevel"/>
    <w:tmpl w:val="23643A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7E7C70A"/>
    <w:multiLevelType w:val="singleLevel"/>
    <w:tmpl w:val="37E7C7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FBC3C72"/>
    <w:multiLevelType w:val="singleLevel"/>
    <w:tmpl w:val="3FBC3C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DC946E7"/>
    <w:multiLevelType w:val="singleLevel"/>
    <w:tmpl w:val="4DC946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49B2F16"/>
    <w:multiLevelType w:val="singleLevel"/>
    <w:tmpl w:val="549B2F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AFF8388"/>
    <w:multiLevelType w:val="singleLevel"/>
    <w:tmpl w:val="5AFF83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A75473C"/>
    <w:multiLevelType w:val="singleLevel"/>
    <w:tmpl w:val="6A7547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6B489C9A"/>
    <w:multiLevelType w:val="singleLevel"/>
    <w:tmpl w:val="6B489C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9A3"/>
    <w:rsid w:val="000206FD"/>
    <w:rsid w:val="00066346"/>
    <w:rsid w:val="000A60DF"/>
    <w:rsid w:val="000D52CE"/>
    <w:rsid w:val="000F31BF"/>
    <w:rsid w:val="00173938"/>
    <w:rsid w:val="00174512"/>
    <w:rsid w:val="001C41B3"/>
    <w:rsid w:val="00224CE0"/>
    <w:rsid w:val="00225EC5"/>
    <w:rsid w:val="002625C0"/>
    <w:rsid w:val="00300736"/>
    <w:rsid w:val="00305147"/>
    <w:rsid w:val="003255C6"/>
    <w:rsid w:val="0033699E"/>
    <w:rsid w:val="00350048"/>
    <w:rsid w:val="00372340"/>
    <w:rsid w:val="003805AE"/>
    <w:rsid w:val="0038310F"/>
    <w:rsid w:val="003C3A6E"/>
    <w:rsid w:val="003E689B"/>
    <w:rsid w:val="0041662C"/>
    <w:rsid w:val="00432065"/>
    <w:rsid w:val="00450FD3"/>
    <w:rsid w:val="00461B9A"/>
    <w:rsid w:val="00496E21"/>
    <w:rsid w:val="00510092"/>
    <w:rsid w:val="0053298C"/>
    <w:rsid w:val="005A4120"/>
    <w:rsid w:val="005F49AE"/>
    <w:rsid w:val="005F4F5D"/>
    <w:rsid w:val="00667400"/>
    <w:rsid w:val="00681E5E"/>
    <w:rsid w:val="0068309F"/>
    <w:rsid w:val="006A740A"/>
    <w:rsid w:val="006B7EE2"/>
    <w:rsid w:val="007206A7"/>
    <w:rsid w:val="007314C9"/>
    <w:rsid w:val="00763ED3"/>
    <w:rsid w:val="0076697F"/>
    <w:rsid w:val="0078552B"/>
    <w:rsid w:val="007E43AB"/>
    <w:rsid w:val="007F5CB9"/>
    <w:rsid w:val="00820048"/>
    <w:rsid w:val="00820E16"/>
    <w:rsid w:val="00843EE4"/>
    <w:rsid w:val="008568E7"/>
    <w:rsid w:val="008A4380"/>
    <w:rsid w:val="008B7BDE"/>
    <w:rsid w:val="008D7679"/>
    <w:rsid w:val="008F474C"/>
    <w:rsid w:val="00907FAC"/>
    <w:rsid w:val="00911610"/>
    <w:rsid w:val="0092738A"/>
    <w:rsid w:val="00970F5B"/>
    <w:rsid w:val="009C676F"/>
    <w:rsid w:val="009D42D0"/>
    <w:rsid w:val="009F506E"/>
    <w:rsid w:val="00A176FA"/>
    <w:rsid w:val="00A21405"/>
    <w:rsid w:val="00A24513"/>
    <w:rsid w:val="00A40C1B"/>
    <w:rsid w:val="00AE2796"/>
    <w:rsid w:val="00B10C8A"/>
    <w:rsid w:val="00B9571E"/>
    <w:rsid w:val="00BF4B6E"/>
    <w:rsid w:val="00C448F4"/>
    <w:rsid w:val="00C50396"/>
    <w:rsid w:val="00C56FFC"/>
    <w:rsid w:val="00CD7227"/>
    <w:rsid w:val="00CF05A9"/>
    <w:rsid w:val="00D00014"/>
    <w:rsid w:val="00D3516E"/>
    <w:rsid w:val="00D63BE4"/>
    <w:rsid w:val="00D82328"/>
    <w:rsid w:val="00DC1878"/>
    <w:rsid w:val="00DC5E21"/>
    <w:rsid w:val="00DD27BF"/>
    <w:rsid w:val="00E00E7C"/>
    <w:rsid w:val="00E11A09"/>
    <w:rsid w:val="00E12BAF"/>
    <w:rsid w:val="00E13512"/>
    <w:rsid w:val="00E26EF1"/>
    <w:rsid w:val="00E53203"/>
    <w:rsid w:val="00E64E18"/>
    <w:rsid w:val="00E703EC"/>
    <w:rsid w:val="00E719EC"/>
    <w:rsid w:val="00EA1677"/>
    <w:rsid w:val="00EA2E1C"/>
    <w:rsid w:val="00F259A3"/>
    <w:rsid w:val="00F35C48"/>
    <w:rsid w:val="00F3602B"/>
    <w:rsid w:val="00F62C82"/>
    <w:rsid w:val="00F6449B"/>
    <w:rsid w:val="00F66B64"/>
    <w:rsid w:val="00F828FD"/>
    <w:rsid w:val="00F94B02"/>
    <w:rsid w:val="00FB3CB6"/>
    <w:rsid w:val="00FB5E57"/>
    <w:rsid w:val="00FC2CAB"/>
    <w:rsid w:val="00FD6FB4"/>
    <w:rsid w:val="00FE39D3"/>
    <w:rsid w:val="00FE4784"/>
    <w:rsid w:val="1BC434B3"/>
    <w:rsid w:val="2E080AD4"/>
    <w:rsid w:val="4E4433A0"/>
    <w:rsid w:val="5BF7D151"/>
    <w:rsid w:val="F7C7A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59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60" w:lineRule="exact"/>
      <w:outlineLvl w:val="0"/>
    </w:pPr>
    <w:rPr>
      <w:rFonts w:eastAsia="黑体"/>
      <w:kern w:val="44"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uiPriority w:val="0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7"/>
    <w:link w:val="4"/>
    <w:uiPriority w:val="0"/>
    <w:rPr>
      <w:kern w:val="2"/>
      <w:sz w:val="18"/>
      <w:szCs w:val="18"/>
    </w:rPr>
  </w:style>
  <w:style w:type="character" w:customStyle="1" w:styleId="11">
    <w:name w:val="页脚 字符"/>
    <w:basedOn w:val="7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516</Words>
  <Characters>2946</Characters>
  <Lines>24</Lines>
  <Paragraphs>6</Paragraphs>
  <TotalTime>528</TotalTime>
  <ScaleCrop>false</ScaleCrop>
  <LinksUpToDate>false</LinksUpToDate>
  <CharactersWithSpaces>3456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2024-06-11T08:28:00Z</dcterms:created>
  <dc:creator>jiang</dc:creator>
  <cp:lastModifiedBy>上善若水</cp:lastModifiedBy>
  <dcterms:modified xsi:type="dcterms:W3CDTF">2026-09-07T17:01:41Z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E32B78160C8A43B18F7795F39872E6D6_12</vt:lpwstr>
  </property>
  <property fmtid="{D5CDD505-2E9C-101B-9397-08002B2CF9AE}" pid="4" name="KSOTemplateDocerSaveRecord">
    <vt:lpwstr>eyJoZGlkIjoiMDdhY2VkMjQ2ZmJmNmZkN2NjOGIwODAzZTNhNjAzNGYiLCJ1c2VySWQiOiIxMjA4MDY4MTIzIn0=</vt:lpwstr>
  </property>
</Properties>
</file>