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28"/>
        </w:rPr>
        <w:t>V5与9.30原稿：保留、替换、补强与评委备答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原稿特色/数字</w:t>
            </w:r>
          </w:p>
        </w:tc>
        <w:tc>
          <w:tcPr>
            <w:tcW w:type="dxa" w:w="2880"/>
          </w:tcPr>
          <w:p>
            <w:r>
              <w:t>V5处理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匠心工坊、一年收成</w:t>
            </w:r>
          </w:p>
        </w:tc>
        <w:tc>
          <w:tcPr>
            <w:tcW w:type="dxa" w:w="2880"/>
          </w:tcPr>
          <w:p>
            <w:r>
              <w:t>保留，P3引出三愁</w:t>
            </w:r>
          </w:p>
        </w:tc>
        <w:tc>
          <w:tcPr>
            <w:tcW w:type="dxa" w:w="2880"/>
          </w:tcPr>
          <w:p>
            <w:r>
              <w:t>情感线不可丢</w:t>
            </w:r>
          </w:p>
        </w:tc>
      </w:tr>
      <w:tr>
        <w:tc>
          <w:tcPr>
            <w:tcW w:type="dxa" w:w="2880"/>
          </w:tcPr>
          <w:p>
            <w:r>
              <w:t>资源无统筹、投入无量化、管护无闭环</w:t>
            </w:r>
          </w:p>
        </w:tc>
        <w:tc>
          <w:tcPr>
            <w:tcW w:type="dxa" w:w="2880"/>
          </w:tcPr>
          <w:p>
            <w:r>
              <w:t>原句保留，配排比</w:t>
            </w:r>
          </w:p>
        </w:tc>
        <w:tc>
          <w:tcPr>
            <w:tcW w:type="dxa" w:w="2880"/>
          </w:tcPr>
          <w:p>
            <w:r>
              <w:t>由烟农三愁向管理深因跃迁</w:t>
            </w:r>
          </w:p>
        </w:tc>
      </w:tr>
      <w:tr>
        <w:tc>
          <w:tcPr>
            <w:tcW w:type="dxa" w:w="2880"/>
          </w:tcPr>
          <w:p>
            <w:r>
              <w:t>健康评估80/10/10、AHP</w:t>
            </w:r>
          </w:p>
        </w:tc>
        <w:tc>
          <w:tcPr>
            <w:tcW w:type="dxa" w:w="2880"/>
          </w:tcPr>
          <w:p>
            <w:r>
              <w:t>保留四类输入、健康分、寿命与TOP3</w:t>
            </w:r>
          </w:p>
        </w:tc>
        <w:tc>
          <w:tcPr>
            <w:tcW w:type="dxa" w:w="2880"/>
          </w:tcPr>
          <w:p>
            <w:r>
              <w:t>使技术能解释而非只报术语</w:t>
            </w:r>
          </w:p>
        </w:tc>
      </w:tr>
      <w:tr>
        <w:tc>
          <w:tcPr>
            <w:tcW w:type="dxa" w:w="2880"/>
          </w:tcPr>
          <w:p>
            <w:r>
              <w:t>千亩村新建模型</w:t>
            </w:r>
          </w:p>
        </w:tc>
        <w:tc>
          <w:tcPr>
            <w:tcW w:type="dxa" w:w="2880"/>
          </w:tcPr>
          <w:p>
            <w:r>
              <w:t>补数需评推、有效烤能、AHP熵权、TOPSIS、沙盘</w:t>
            </w:r>
          </w:p>
        </w:tc>
        <w:tc>
          <w:tcPr>
            <w:tcW w:type="dxa" w:w="2880"/>
          </w:tcPr>
          <w:p>
            <w:r>
              <w:t>体现存量—增量之间两模耦合</w:t>
            </w:r>
          </w:p>
        </w:tc>
      </w:tr>
      <w:tr>
        <w:tc>
          <w:tcPr>
            <w:tcW w:type="dxa" w:w="2880"/>
          </w:tcPr>
          <w:p>
            <w:r>
              <w:t>智用、智投、智管</w:t>
            </w:r>
          </w:p>
        </w:tc>
        <w:tc>
          <w:tcPr>
            <w:tcW w:type="dxa" w:w="2880"/>
          </w:tcPr>
          <w:p>
            <w:r>
              <w:t>按烟农服务到投资再到管护分层</w:t>
            </w:r>
          </w:p>
        </w:tc>
        <w:tc>
          <w:tcPr>
            <w:tcW w:type="dxa" w:w="2880"/>
          </w:tcPr>
          <w:p>
            <w:r>
              <w:t>避免功能菜单式汇报</w:t>
            </w:r>
          </w:p>
        </w:tc>
      </w:tr>
      <w:tr>
        <w:tc>
          <w:tcPr>
            <w:tcW w:type="dxa" w:w="2880"/>
          </w:tcPr>
          <w:p>
            <w:r>
              <w:t>四队、基金、制度</w:t>
            </w:r>
          </w:p>
        </w:tc>
        <w:tc>
          <w:tcPr>
            <w:tcW w:type="dxa" w:w="2880"/>
          </w:tcPr>
          <w:p>
            <w:r>
              <w:t>保留并解释各队分工及管护覆盖范围</w:t>
            </w:r>
          </w:p>
        </w:tc>
        <w:tc>
          <w:tcPr>
            <w:tcW w:type="dxa" w:w="2880"/>
          </w:tcPr>
          <w:p>
            <w:r>
              <w:t>可落地与可持续</w:t>
            </w:r>
          </w:p>
        </w:tc>
      </w:tr>
      <w:tr>
        <w:tc>
          <w:tcPr>
            <w:tcW w:type="dxa" w:w="2880"/>
          </w:tcPr>
          <w:p>
            <w:r>
              <w:t>原稿95.8%满意度</w:t>
            </w:r>
          </w:p>
        </w:tc>
        <w:tc>
          <w:tcPr>
            <w:tcW w:type="dxa" w:w="2880"/>
          </w:tcPr>
          <w:p>
            <w:r>
              <w:t>使用官方531份有效问卷96.8%</w:t>
            </w:r>
          </w:p>
        </w:tc>
        <w:tc>
          <w:tcPr>
            <w:tcW w:type="dxa" w:w="2880"/>
          </w:tcPr>
          <w:p>
            <w:r>
              <w:t>采用正式材料</w:t>
            </w:r>
          </w:p>
        </w:tc>
      </w:tr>
      <w:tr>
        <w:tc>
          <w:tcPr>
            <w:tcW w:type="dxa" w:w="2880"/>
          </w:tcPr>
          <w:p>
            <w:r>
              <w:t>原稿0.5小时响应</w:t>
            </w:r>
          </w:p>
        </w:tc>
        <w:tc>
          <w:tcPr>
            <w:tcW w:type="dxa" w:w="2880"/>
          </w:tcPr>
          <w:p>
            <w:r>
              <w:t>限定16条平台工单平均0.38小时</w:t>
            </w:r>
          </w:p>
        </w:tc>
        <w:tc>
          <w:tcPr>
            <w:tcW w:type="dxa" w:w="2880"/>
          </w:tcPr>
          <w:p>
            <w:r>
              <w:t>区分样本/指标</w:t>
            </w:r>
          </w:p>
        </w:tc>
      </w:tr>
      <w:tr>
        <w:tc>
          <w:tcPr>
            <w:tcW w:type="dxa" w:w="2880"/>
          </w:tcPr>
          <w:p>
            <w:r>
              <w:t>原稿150栋更新、肖家坪7栋新建</w:t>
            </w:r>
          </w:p>
        </w:tc>
        <w:tc>
          <w:tcPr>
            <w:tcW w:type="dxa" w:w="2880"/>
          </w:tcPr>
          <w:p>
            <w:r>
              <w:t>作为待核线索，暂不报已完成</w:t>
            </w:r>
          </w:p>
        </w:tc>
        <w:tc>
          <w:tcPr>
            <w:tcW w:type="dxa" w:w="2880"/>
          </w:tcPr>
          <w:p>
            <w:r>
              <w:t>防止计划替代验收</w:t>
            </w:r>
          </w:p>
        </w:tc>
      </w:tr>
      <w:tr>
        <w:tc>
          <w:tcPr>
            <w:tcW w:type="dxa" w:w="2880"/>
          </w:tcPr>
          <w:p>
            <w:r>
              <w:t>原稿基金年底结余超100万元</w:t>
            </w:r>
          </w:p>
        </w:tc>
        <w:tc>
          <w:tcPr>
            <w:tcW w:type="dxa" w:w="2880"/>
          </w:tcPr>
          <w:p>
            <w:r>
              <w:t>用基金总额近190万元</w:t>
            </w:r>
          </w:p>
        </w:tc>
        <w:tc>
          <w:tcPr>
            <w:tcW w:type="dxa" w:w="2880"/>
          </w:tcPr>
          <w:p>
            <w:r>
              <w:t>总额不等于期末结余</w:t>
            </w:r>
          </w:p>
        </w:tc>
      </w:tr>
    </w:tbl>
    <w:p>
      <w:pPr>
        <w:pStyle w:val="Heading2"/>
      </w:pPr>
      <w:r>
        <w:t>最可能被问的5个技术问题</w:t>
      </w:r>
    </w:p>
    <w:p>
      <w:r>
        <w:t>1. 为什么采用AHP？答：通过专家判断确定部件重要性权重，确保健康分的技术可解释性，同时以现场状态、年限和评价构成输入。</w:t>
      </w:r>
    </w:p>
    <w:p>
      <w:r>
        <w:t>2. 为什么选址同时用AHP、熵权、TOPSIS？答：结合专业重要性与客观差异形成权重，再用TOPSIS比较候选点的相对优先级，最终仍需现场踏勘与审批。</w:t>
      </w:r>
    </w:p>
    <w:p>
      <w:r>
        <w:t>3. 为什么要算有效烤能？答：名义栋数不等于真实可用能力；现有设备健康变化可能影响村里真实缺口。</w:t>
      </w:r>
    </w:p>
    <w:p>
      <w:r>
        <w:t>4. 如何实现闭环？答：调剂报修→派单维修→验收评价→回写档案→模型复算，四队和制度负责线下执行。</w:t>
      </w:r>
    </w:p>
    <w:p>
      <w:r>
        <w:t>5. P8与P9寿命估算为何不完全相同？答：现有页面同时呈现合成公式与Weibull表述，正式比赛前先核实实际实现版本，台词不编造两者关系。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