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智烤管家V3 25页PPT逐页口播与修改对照</w:t>
      </w:r>
    </w:p>
    <w:p>
      <w:pPr>
        <w:jc w:val="center"/>
      </w:pPr>
      <w:r>
        <w:t>最新PPT先不改图：逐页指出应讲什么以及下一轮应改什么</w:t>
      </w:r>
      <w:r>
        <w:t>资料审查日期：2026年10月19日  ·  版本V2</w:t>
      </w:r>
    </w:p>
    <w:p>
      <w:pPr>
        <w:pStyle w:val="Heading2"/>
      </w:pPr>
      <w:r>
        <w:t>第1页｜封面出场：一句价值判断，A介绍，B设角色</w:t>
      </w:r>
    </w:p>
    <w:p>
      <w:pPr/>
      <w:r>
        <w:t>【台词】A：尊敬的各位领导、评委，大家好！我们是宜昌烟草智同道合创客小组，今天汇报《智烤管家》——让每一座烤房，都有一份健康档案。</w:t>
      </w:r>
    </w:p>
    <w:p>
      <w:pPr/>
      <w:r>
        <w:t>【台词】B：这位管家不仅记得住家底，还能算风险、管维修、帮烟农。</w:t>
      </w:r>
    </w:p>
    <w:p>
      <w:pPr>
        <w:pStyle w:val="Heading2"/>
      </w:pPr>
      <w:r>
        <w:t>第2页｜30秒情境视频；无额外口播</w:t>
      </w:r>
    </w:p>
    <w:p>
      <w:pPr/>
      <w:r>
        <w:t>静默播放约30秒。若原素材未裁剪，则为41.5秒，必须从讲述和切页中扣减。</w:t>
      </w:r>
    </w:p>
    <w:p>
      <w:pPr>
        <w:pStyle w:val="Heading2"/>
      </w:pPr>
      <w:r>
        <w:t>第3页｜烟农三愁：想用调不到、想修等不及、想问问不明</w:t>
      </w:r>
    </w:p>
    <w:p>
      <w:pPr/>
      <w:r>
        <w:t>【台词】A：对烟农来说，烤房不是冰冷设备，而是烟叶提质增香的“匠心工坊”，更牵着一年的收成。可一到烘烤季，三件愁事就来了：想用，调不到；想修，等不及；想问，问不明。</w:t>
      </w:r>
    </w:p>
    <w:p>
      <w:pPr/>
      <w:r>
        <w:t>【台词】B：房在哪、坏哪儿、谁负责？一炕烟等不起，烟农心里更着急。</w:t>
      </w:r>
    </w:p>
    <w:p>
      <w:pPr>
        <w:pStyle w:val="Heading2"/>
      </w:pPr>
      <w:r>
        <w:t>第4页｜管理三缺：资源无统筹、投入无量化、管护无闭环</w:t>
      </w:r>
    </w:p>
    <w:p>
      <w:pPr/>
      <w:r>
        <w:t>【台词】A：我们走进烟区、研究台账后发现，表面是用房、抢修和投入，根子就是三大问题：资源无统筹、投入无量化、管护无闭环。烤房建了多少，不等于真正能用多少。</w:t>
      </w:r>
    </w:p>
    <w:p>
      <w:pPr/>
      <w:r>
        <w:t>【台词】B：所以要解的不是一个按钮的问题，而是烤房“用、投、管”三件事。</w:t>
      </w:r>
    </w:p>
    <w:p>
      <w:pPr>
        <w:pStyle w:val="Heading2"/>
      </w:pPr>
      <w:r>
        <w:t>第5页｜1234一页总览，四个数字分别归位</w:t>
      </w:r>
    </w:p>
    <w:p>
      <w:pPr/>
      <w:r>
        <w:t>【台词】A：我们提出“1234”：一库见底、两模决策、三智落地、四队长效。让资源有数、维修有序、投入有据、运维有责。</w:t>
      </w:r>
    </w:p>
    <w:p>
      <w:pPr/>
      <w:r>
        <w:t>【台词】B：先把家底查清，再把账算明，最后让管家把事办成。</w:t>
      </w:r>
    </w:p>
    <w:p>
      <w:pPr>
        <w:pStyle w:val="Heading2"/>
      </w:pPr>
      <w:r>
        <w:t>第6页｜数据采集：2442座、低代码、一房一档</w:t>
      </w:r>
    </w:p>
    <w:p>
      <w:pPr/>
      <w:r>
        <w:t>【台词】A：第一步，给烤房做“数字户口”。技术员拿起手机，拍照定位，逐项核查加热、散热、自控和主体等四大部位、十八个关键清查项，把设备状态、维修记录、用户评价关联归档。借助二十二个低代码应用、六类报表，秭归二千四百四十二座烤房实现全口径建档。</w:t>
      </w:r>
    </w:p>
    <w:p>
      <w:pPr/>
      <w:r>
        <w:t>【台词】B：过去找一栋房要翻几本账；如今一房一档，位置能查、病史能看、责任能追。哪个部件坏了、上回谁修的，也能顺着编号查下去。</w:t>
      </w:r>
    </w:p>
    <w:p>
      <w:pPr/>
      <w:r>
        <w:t>注意：18个清查部件与第8页12个模型计算参数需确认清单映射；原截图的实时状态与官方“在用1672”不是同一时点，不宜由截图代替官方统计。</w:t>
      </w:r>
    </w:p>
    <w:p>
      <w:pPr>
        <w:pStyle w:val="Heading2"/>
      </w:pPr>
      <w:r>
        <w:t>第7页｜双模型各自解决的问题与联系</w:t>
      </w:r>
    </w:p>
    <w:p>
      <w:pPr/>
      <w:r>
        <w:t>【台词】B：家底摸清了，可哪栋先修？难道谁催得急就先修谁？</w:t>
      </w:r>
    </w:p>
    <w:p>
      <w:pPr/>
      <w:r>
        <w:t>【台词】A：第一模，健康评估，像给烤房做体检，分三步：一是输入档案、部件、检查评价和维修数据；二是用层次分析法确定部件权重，按部件状态占八成、管护与评价各一成，算健康分，再结合使用年限与威布尔等寿命分析估算剩余寿命；三是按风险排序，输出风险烤房、关键部位和推荐维修清单。</w:t>
      </w:r>
    </w:p>
    <w:p>
      <w:pPr/>
      <w:r>
        <w:t>【台词】B：也就是“算分、找病灶、开清单”，师傅先查高风险处，有限维修资金才知道该优先投到哪儿。</w:t>
      </w:r>
    </w:p>
    <w:p>
      <w:pPr/>
      <w:r>
        <w:t>【台词】A：分数不是替代现场判断，而是让抢修少走弯路，维修投入更有先后。</w:t>
      </w:r>
    </w:p>
    <w:p>
      <w:pPr>
        <w:pStyle w:val="Heading2"/>
      </w:pPr>
      <w:r>
        <w:t>第8页｜健康模型原始计算图，带出输入和健康评分、剩余寿命</w:t>
      </w:r>
    </w:p>
    <w:p>
      <w:pPr/>
      <w:r>
        <w:t>【台词】B：家底摸清了，可哪栋先修？难道谁催得急就先修谁？</w:t>
      </w:r>
    </w:p>
    <w:p>
      <w:pPr/>
      <w:r>
        <w:t>【台词】A：第一模，健康评估，像给烤房做体检，分三步：一是输入档案、部件、检查评价和维修数据；二是用层次分析法确定部件权重，按部件状态占八成、管护与评价各一成，算健康分，再结合使用年限与威布尔等寿命分析估算剩余寿命；三是按风险排序，输出风险烤房、关键部位和推荐维修清单。</w:t>
      </w:r>
    </w:p>
    <w:p>
      <w:pPr/>
      <w:r>
        <w:t>【台词】B：也就是“算分、找病灶、开清单”，师傅先查高风险处，有限维修资金才知道该优先投到哪儿。</w:t>
      </w:r>
    </w:p>
    <w:p>
      <w:pPr/>
      <w:r>
        <w:t>【台词】A：分数不是替代现场判断，而是让抢修少走弯路，维修投入更有先后。</w:t>
      </w:r>
    </w:p>
    <w:p>
      <w:pPr/>
      <w:r>
        <w:t>建议PPT优化：用“数据输入—计算健康与寿命—生成预警/推荐维修清单”的可视化逻辑代替对公式的逐行讲解。</w:t>
      </w:r>
    </w:p>
    <w:p>
      <w:pPr>
        <w:pStyle w:val="Heading2"/>
      </w:pPr>
      <w:r>
        <w:t>第9页｜健康模型三步：入模、综合计算、预警维修清单</w:t>
      </w:r>
    </w:p>
    <w:p>
      <w:pPr/>
      <w:r>
        <w:t>【台词】B：家底摸清了，可哪栋先修？难道谁催得急就先修谁？</w:t>
      </w:r>
    </w:p>
    <w:p>
      <w:pPr/>
      <w:r>
        <w:t>【台词】A：第一模，健康评估，像给烤房做体检，分三步：一是输入档案、部件、检查评价和维修数据；二是用层次分析法确定部件权重，按部件状态占八成、管护与评价各一成，算健康分，再结合使用年限与威布尔等寿命分析估算剩余寿命；三是按风险排序，输出风险烤房、关键部位和推荐维修清单。</w:t>
      </w:r>
    </w:p>
    <w:p>
      <w:pPr/>
      <w:r>
        <w:t>【台词】B：也就是“算分、找病灶、开清单”，师傅先查高风险处，有限维修资金才知道该优先投到哪儿。</w:t>
      </w:r>
    </w:p>
    <w:p>
      <w:pPr/>
      <w:r>
        <w:t>【台词】A：分数不是替代现场判断，而是让抢修少走弯路，维修投入更有先后。</w:t>
      </w:r>
    </w:p>
    <w:p>
      <w:pPr/>
      <w:r>
        <w:t>建议PPT优化：用“数据输入—计算健康与寿命—生成预警/推荐维修清单”的可视化逻辑代替对公式的逐行讲解。</w:t>
      </w:r>
    </w:p>
    <w:p>
      <w:pPr>
        <w:pStyle w:val="Heading2"/>
      </w:pPr>
      <w:r>
        <w:t>第10页｜发展导引原始图：注意不要读每个公式</w:t>
      </w:r>
    </w:p>
    <w:p>
      <w:pPr/>
      <w:r>
        <w:t>【台词】B：该修谁有数了，新的烤房又该建在哪？</w:t>
      </w:r>
    </w:p>
    <w:p>
      <w:pPr/>
      <w:r>
        <w:t>【台词】A：第二模，千亩村发展导引，按“数、需、评、推”四步走。数：汇集烤房、烟叶生产、村级发展和候选点数据；需：把烤房健康状态折算成有效烤能，再与烟叶需求比较，算出真实缺口；评：用层次分析法加熵权法组合赋权，再用TOPSIS给候选点排序；推：放进地图沙盘，模拟新增栋数和位置，比较补缺效果。</w:t>
      </w:r>
    </w:p>
    <w:p>
      <w:pPr/>
      <w:r>
        <w:t>【台词】B：这就不是“哪里喊缺就往哪建”，而是先盘活、再维修、确实缺了才考虑新建。</w:t>
      </w:r>
    </w:p>
    <w:p>
      <w:pPr/>
      <w:r>
        <w:t>【台词】A：两模相连：旧房健不健康，决定村里究竟还缺多少烤能。</w:t>
      </w:r>
    </w:p>
    <w:p>
      <w:pPr/>
      <w:r>
        <w:t>建议PPT优化：四步“数需评推”要一眼辨识，公式名可保留在角落作信息条线答辩依据。</w:t>
      </w:r>
    </w:p>
    <w:p>
      <w:pPr>
        <w:pStyle w:val="Heading2"/>
      </w:pPr>
      <w:r>
        <w:t>第11页｜数、需、评、推四步，AHP+熵权+TOPSIS</w:t>
      </w:r>
    </w:p>
    <w:p>
      <w:pPr/>
      <w:r>
        <w:t>【台词】B：该修谁有数了，新的烤房又该建在哪？</w:t>
      </w:r>
    </w:p>
    <w:p>
      <w:pPr/>
      <w:r>
        <w:t>【台词】A：第二模，千亩村发展导引，按“数、需、评、推”四步走。数：汇集烤房、烟叶生产、村级发展和候选点数据；需：把烤房健康状态折算成有效烤能，再与烟叶需求比较，算出真实缺口；评：用层次分析法加熵权法组合赋权，再用TOPSIS给候选点排序；推：放进地图沙盘，模拟新增栋数和位置，比较补缺效果。</w:t>
      </w:r>
    </w:p>
    <w:p>
      <w:pPr/>
      <w:r>
        <w:t>【台词】B：这就不是“哪里喊缺就往哪建”，而是先盘活、再维修、确实缺了才考虑新建。</w:t>
      </w:r>
    </w:p>
    <w:p>
      <w:pPr/>
      <w:r>
        <w:t>【台词】A：两模相连：旧房健不健康，决定村里究竟还缺多少烤能。</w:t>
      </w:r>
    </w:p>
    <w:p>
      <w:pPr/>
      <w:r>
        <w:t>建议PPT优化：四步“数需评推”要一眼辨识，公式名可保留在角落作信息条线答辩依据。</w:t>
      </w:r>
    </w:p>
    <w:p>
      <w:pPr>
        <w:pStyle w:val="Heading2"/>
      </w:pPr>
      <w:r>
        <w:t>第12页｜三类用户业务入口：烟农、合作社、烟草管理</w:t>
      </w:r>
    </w:p>
    <w:p>
      <w:pPr/>
      <w:r>
        <w:t>【台词】A：模型算出来，还要有人用。于是我们把烟农、合作社、管理部门接进同一平台，形成智用、智投、智管，业务发生、数据回库、模型再算。</w:t>
      </w:r>
    </w:p>
    <w:p>
      <w:pPr/>
      <w:r>
        <w:t>【台词】B：接下来，请看“管家”怎么走进烟农的日常。</w:t>
      </w:r>
    </w:p>
    <w:p>
      <w:pPr>
        <w:pStyle w:val="Heading2"/>
      </w:pPr>
      <w:r>
        <w:t>第13页｜三智闭环：数据回库→模型重算</w:t>
      </w:r>
    </w:p>
    <w:p>
      <w:pPr/>
      <w:r>
        <w:t>【台词】A：模型算出来，还要有人用。于是我们把烟农、合作社、管理部门接进同一平台，形成智用、智投、智管，业务发生、数据回库、模型再算。</w:t>
      </w:r>
    </w:p>
    <w:p>
      <w:pPr/>
      <w:r>
        <w:t>【台词】B：接下来，请看“管家”怎么走进烟农的日常。</w:t>
      </w:r>
    </w:p>
    <w:p>
      <w:pPr>
        <w:pStyle w:val="Heading2"/>
      </w:pPr>
      <w:r>
        <w:t>第14页｜智用演示，原视频65.9秒，建议短片或静帧</w:t>
      </w:r>
    </w:p>
    <w:p>
      <w:pPr/>
      <w:r>
        <w:t>【台词】A：智用让烟农查周边烤房、发起调剂，一键报修后还能跟进度、评服务。今年记录调剂四十八次、报修十八次，抢修控制在三小时内；其中十六条平台工单，平均响应零点三八小时。</w:t>
      </w:r>
    </w:p>
    <w:p>
      <w:pPr/>
      <w:r>
        <w:t>【台词】B：少打一个求助电话，快一点找到人，就能少耽误一炕烟。像雷雨天遇到突发停机，师傅、配件、烟农都得抢时间。</w:t>
      </w:r>
    </w:p>
    <w:p>
      <w:pPr/>
      <w:r>
        <w:t>该页可能有媒体素材，请确认是否自动播放、播放时长、是否能与口述同步，不允许因额外视频导致超过8分钟。</w:t>
      </w:r>
    </w:p>
    <w:p>
      <w:pPr>
        <w:pStyle w:val="Heading2"/>
      </w:pPr>
      <w:r>
        <w:t>第15页｜智用成效：48调剂、18报修、16条0.38小时</w:t>
      </w:r>
    </w:p>
    <w:p>
      <w:pPr/>
      <w:r>
        <w:t>【台词】A：智用让烟农查周边烤房、发起调剂，一键报修后还能跟进度、评服务。今年记录调剂四十八次、报修十八次，抢修控制在三小时内；其中十六条平台工单，平均响应零点三八小时。</w:t>
      </w:r>
    </w:p>
    <w:p>
      <w:pPr/>
      <w:r>
        <w:t>【台词】B：少打一个求助电话，快一点找到人，就能少耽误一炕烟。像雷雨天遇到突发停机，师傅、配件、烟农都得抢时间。</w:t>
      </w:r>
    </w:p>
    <w:p>
      <w:pPr>
        <w:pStyle w:val="Heading2"/>
      </w:pPr>
      <w:r>
        <w:t>第16页｜智投：维修优先推荐与资金分析，演示不宜叠加计时</w:t>
      </w:r>
    </w:p>
    <w:p>
      <w:pPr/>
      <w:r>
        <w:t>【台词】A：智投把模型变成行动清单。已从二千四百四十二座烤房中筛出健康分低于六十分的三百四十多座，提示优先检查修复；新建则比较有效烤能、候选位置和新增情景，让每笔投入先有依据。</w:t>
      </w:r>
    </w:p>
    <w:p>
      <w:pPr/>
      <w:r>
        <w:t>【台词】B：先修能修的，再建真缺的；账算在前头，钱才能花在刀刃上。</w:t>
      </w:r>
    </w:p>
    <w:p>
      <w:pPr/>
      <w:r>
        <w:t>该页可能有媒体素材，请确认是否自动播放、播放时长、是否能与口述同步，不允许因额外视频导致超过8分钟。</w:t>
      </w:r>
    </w:p>
    <w:p>
      <w:pPr>
        <w:pStyle w:val="Heading2"/>
      </w:pPr>
      <w:r>
        <w:t>第17页｜智投：候选点推演及地图沙盘演练</w:t>
      </w:r>
    </w:p>
    <w:p>
      <w:pPr/>
      <w:r>
        <w:t>【台词】A：智投把模型变成行动清单。已从二千四百四十二座烤房中筛出健康分低于六十分的三百四十多座，提示优先检查修复；新建则比较有效烤能、候选位置和新增情景，让每笔投入先有依据。</w:t>
      </w:r>
    </w:p>
    <w:p>
      <w:pPr/>
      <w:r>
        <w:t>【台词】B：先修能修的，再建真缺的；账算在前头，钱才能花在刀刃上。</w:t>
      </w:r>
    </w:p>
    <w:p>
      <w:pPr/>
      <w:r>
        <w:t>该页可能有媒体素材，请确认是否自动播放、播放时长、是否能与口述同步，不允许因额外视频导致超过8分钟。</w:t>
      </w:r>
    </w:p>
    <w:p>
      <w:pPr>
        <w:pStyle w:val="Heading2"/>
      </w:pPr>
      <w:r>
        <w:t>第18页｜智管：申请至评价回写完整链</w:t>
      </w:r>
    </w:p>
    <w:p>
      <w:pPr/>
      <w:r>
        <w:t>【台词】A：智管把申请、派单、处置、验收、评价、回写串成闭环。修完不算完，部件档案更新、健康分重新计算；网页后台、BI大屏、AI助手辅助查询与督办。</w:t>
      </w:r>
    </w:p>
    <w:p>
      <w:pPr/>
      <w:r>
        <w:t>【台词】B：从“有人修”，到“谁修的、修得怎样、下次该查哪儿”，全过程留痕。修完留下记录，下次抢修少摸黑，管得越久，数据越准。</w:t>
      </w:r>
    </w:p>
    <w:p>
      <w:pPr>
        <w:pStyle w:val="Heading2"/>
      </w:pPr>
      <w:r>
        <w:t>第19页｜AI助手查询演示，只作为辅助工具</w:t>
      </w:r>
    </w:p>
    <w:p>
      <w:pPr/>
      <w:r>
        <w:t>【台词】A：智管把申请、派单、处置、验收、评价、回写串成闭环。修完不算完，部件档案更新、健康分重新计算；网页后台、BI大屏、AI助手辅助查询与督办。</w:t>
      </w:r>
    </w:p>
    <w:p>
      <w:pPr/>
      <w:r>
        <w:t>【台词】B：从“有人修”，到“谁修的、修得怎样、下次该查哪儿”，全过程留痕。修完留下记录，下次抢修少摸黑，管得越久，数据越准。</w:t>
      </w:r>
    </w:p>
    <w:p>
      <w:pPr/>
      <w:r>
        <w:t>该页可能有媒体素材，请确认是否自动播放、播放时长、是否能与口述同步，不允许因额外视频导致超过8分钟。</w:t>
      </w:r>
    </w:p>
    <w:p>
      <w:pPr>
        <w:pStyle w:val="Heading2"/>
      </w:pPr>
      <w:r>
        <w:t>第20页｜四队与管护基金，1363/1672≈81%</w:t>
      </w:r>
    </w:p>
    <w:p>
      <w:pPr/>
      <w:r>
        <w:t>【台词】A：数字系统不能自己上山抢修，所以我们以合作社为依托，坚持产权公有、专业管护、有偿服务，组建烟叶调制、紧急抢修、日常管护、综合管理四支队伍；又以《烟叶基础设备管护方案》和《宜昌市烟叶调制设施管护操作规范》明确责任、标准和验收。</w:t>
      </w:r>
    </w:p>
    <w:p>
      <w:pPr/>
      <w:r>
        <w:t>【台词】B：队伍有人干、流程有章循，再加上基金保障，管护才能长久。队伍不是摆设，基金更要用得明白、花得规范。</w:t>
      </w:r>
    </w:p>
    <w:p>
      <w:pPr/>
      <w:r>
        <w:t>【台词】A：目前两级合作社统筹管护一千三百六十三栋，占本年度一千六百七十二栋在用烤房约百分之八十一；管护基金总额近一百九十万元。</w:t>
      </w:r>
    </w:p>
    <w:p>
      <w:pPr>
        <w:pStyle w:val="Heading2"/>
      </w:pPr>
      <w:r>
        <w:t>第21页｜调抢养综四队、合作社制度、行业规范</w:t>
      </w:r>
    </w:p>
    <w:p>
      <w:pPr/>
      <w:r>
        <w:t>【台词】A：数字系统不能自己上山抢修，所以我们以合作社为依托，坚持产权公有、专业管护、有偿服务，组建烟叶调制、紧急抢修、日常管护、综合管理四支队伍；又以《烟叶基础设备管护方案》和《宜昌市烟叶调制设施管护操作规范》明确责任、标准和验收。</w:t>
      </w:r>
    </w:p>
    <w:p>
      <w:pPr/>
      <w:r>
        <w:t>【台词】B：队伍有人干、流程有章循，再加上基金保障，管护才能长久。队伍不是摆设，基金更要用得明白、花得规范。</w:t>
      </w:r>
    </w:p>
    <w:p>
      <w:pPr/>
      <w:r>
        <w:t>【台词】A：目前两级合作社统筹管护一千三百六十三栋，占本年度一千六百七十二栋在用烤房约百分之八十一；管护基金总额近一百九十万元。</w:t>
      </w:r>
    </w:p>
    <w:p>
      <w:pPr>
        <w:pStyle w:val="Heading2"/>
      </w:pPr>
      <w:r>
        <w:t>第22页｜官方成效数据一页，确保口径正确</w:t>
      </w:r>
    </w:p>
    <w:p>
      <w:pPr/>
      <w:r>
        <w:t>【台词】B：一个烤季，二千四百四十二座建档，四十八次调剂、十八次报修；五百三十一份有效问卷，综合满意度百分之九十六点八。</w:t>
      </w:r>
    </w:p>
    <w:p>
      <w:pPr/>
      <w:r>
        <w:t>【台词】A：还有三百四十多座预警对象、超过八成在用烤房纳入合作社统筹管护。数字背后，是真正有人管、有人修、有依据。</w:t>
      </w:r>
    </w:p>
    <w:p>
      <w:pPr/>
      <w:r>
        <w:t>对照官方成果报告核对单位、分母与时间：96.8%来自531份有效问卷；0.38h对应16条平台工单平均响应；基金近190万元是总额。</w:t>
      </w:r>
    </w:p>
    <w:p>
      <w:pPr>
        <w:pStyle w:val="Heading2"/>
      </w:pPr>
      <w:r>
        <w:t>第23页｜价值总结：三种转变，强调机制创新</w:t>
      </w:r>
    </w:p>
    <w:p>
      <w:pPr/>
      <w:r>
        <w:t>【台词】A：我们的创新不是多做几个页面，而是三种改变：经验判断走向量化辅助、被动抢修走向风险预警、一次维修走向长效治理。这套方法已经在秭归运行一个烤季，下一步将核实数据口径后逐步推广。</w:t>
      </w:r>
    </w:p>
    <w:p>
      <w:pPr/>
      <w:r>
        <w:t>【台词】B：能复制的不只是软件，更是数据、模型、队伍和制度一起转动的办法。</w:t>
      </w:r>
    </w:p>
    <w:p>
      <w:pPr>
        <w:pStyle w:val="Heading2"/>
      </w:pPr>
      <w:r>
        <w:t>第24页｜谨慎推广：目前秭归一个烤季，其他县校准后推广</w:t>
      </w:r>
    </w:p>
    <w:p>
      <w:pPr/>
      <w:r>
        <w:t>【台词】A：我们的创新不是多做几个页面，而是三种改变：经验判断走向量化辅助、被动抢修走向风险预警、一次维修走向长效治理。这套方法已经在秭归运行一个烤季，下一步将核实数据口径后逐步推广。</w:t>
      </w:r>
    </w:p>
    <w:p>
      <w:pPr/>
      <w:r>
        <w:t>【台词】B：能复制的不只是软件，更是数据、模型、队伍和制度一起转动的办法。</w:t>
      </w:r>
    </w:p>
    <w:p>
      <w:pPr>
        <w:pStyle w:val="Heading2"/>
      </w:pPr>
      <w:r>
        <w:t>第25页｜四句记忆点，合页谢幕</w:t>
      </w:r>
    </w:p>
    <w:p>
      <w:pPr/>
      <w:r>
        <w:t>【台词】A：一库清家底，两模明方向；三智惠烟农，四队护长远！</w:t>
      </w:r>
    </w:p>
    <w:p>
      <w:pPr/>
      <w:r>
        <w:t>【台词】B：聚数成方，一脉致远。</w:t>
      </w:r>
    </w:p>
    <w:p>
      <w:pPr/>
      <w:r>
        <w:t>【台词】A：智烤管家，让每一座烤房发挥最大价值！</w:t>
      </w:r>
    </w:p>
    <w:p>
      <w:pPr/>
      <w:r>
        <w:t>【台词】B：汇报完毕，谢谢大家！</w:t>
      </w:r>
    </w:p>
    <w:p>
      <w:pPr>
        <w:pStyle w:val="Heading2"/>
      </w:pPr>
      <w:r>
        <w:t>现场时长与角色比例校核</w:t>
      </w:r>
    </w:p>
    <w:tbl>
      <w:tblPr>
        <w:tblStyle w:val="TableGrid"/>
        <w:tblW w:type="auto" w:w="0"/>
        <w:jc w:val="center"/>
        <w:tblLook w:firstColumn="1" w:firstRow="1" w:lastColumn="0" w:lastRow="0" w:noHBand="0" w:noVBand="1" w:val="04A0"/>
      </w:tblPr>
      <w:tblGrid>
        <w:gridCol w:w="4731"/>
        <w:gridCol w:w="4731"/>
      </w:tblGrid>
      <w:tr>
        <w:tc>
          <w:tcPr>
            <w:tcW w:type="dxa" w:w="4731"/>
          </w:tcPr>
          <w:p>
            <w:r>
              <w:t>统计</w:t>
            </w:r>
          </w:p>
        </w:tc>
        <w:tc>
          <w:tcPr>
            <w:tcW w:type="dxa" w:w="4731"/>
          </w:tcPr>
          <w:p>
            <w:r>
              <w:t>实测或估算</w:t>
            </w:r>
          </w:p>
        </w:tc>
      </w:tr>
      <w:tr>
        <w:tc>
          <w:tcPr>
            <w:tcW w:type="dxa" w:w="4731"/>
          </w:tcPr>
          <w:p>
            <w:r>
              <w:t>A角汉字</w:t>
            </w:r>
          </w:p>
        </w:tc>
        <w:tc>
          <w:tcPr>
            <w:tcW w:type="dxa" w:w="4731"/>
          </w:tcPr>
          <w:p>
            <w:r>
              <w:t>1141</w:t>
            </w:r>
          </w:p>
        </w:tc>
      </w:tr>
      <w:tr>
        <w:tc>
          <w:tcPr>
            <w:tcW w:type="dxa" w:w="4731"/>
          </w:tcPr>
          <w:p>
            <w:r>
              <w:t>B角汉字</w:t>
            </w:r>
          </w:p>
        </w:tc>
        <w:tc>
          <w:tcPr>
            <w:tcW w:type="dxa" w:w="4731"/>
          </w:tcPr>
          <w:p>
            <w:r>
              <w:t>494</w:t>
            </w:r>
          </w:p>
        </w:tc>
      </w:tr>
      <w:tr>
        <w:tc>
          <w:tcPr>
            <w:tcW w:type="dxa" w:w="4731"/>
          </w:tcPr>
          <w:p>
            <w:r>
              <w:t>A占比</w:t>
            </w:r>
          </w:p>
        </w:tc>
        <w:tc>
          <w:tcPr>
            <w:tcW w:type="dxa" w:w="4731"/>
          </w:tcPr>
          <w:p>
            <w:r>
              <w:t>69.79%</w:t>
            </w:r>
          </w:p>
        </w:tc>
      </w:tr>
      <w:tr>
        <w:tc>
          <w:tcPr>
            <w:tcW w:type="dxa" w:w="4731"/>
          </w:tcPr>
          <w:p>
            <w:r>
              <w:t>B占比</w:t>
            </w:r>
          </w:p>
        </w:tc>
        <w:tc>
          <w:tcPr>
            <w:tcW w:type="dxa" w:w="4731"/>
          </w:tcPr>
          <w:p>
            <w:r>
              <w:t>30.21%</w:t>
            </w:r>
          </w:p>
        </w:tc>
      </w:tr>
      <w:tr>
        <w:tc>
          <w:tcPr>
            <w:tcW w:type="dxa" w:w="4731"/>
          </w:tcPr>
          <w:p>
            <w:r>
              <w:t>口述汉字总数</w:t>
            </w:r>
          </w:p>
        </w:tc>
        <w:tc>
          <w:tcPr>
            <w:tcW w:type="dxa" w:w="4731"/>
          </w:tcPr>
          <w:p>
            <w:r>
              <w:t>1635</w:t>
            </w:r>
          </w:p>
        </w:tc>
      </w:tr>
      <w:tr>
        <w:tc>
          <w:tcPr>
            <w:tcW w:type="dxa" w:w="4731"/>
          </w:tcPr>
          <w:p>
            <w:r>
              <w:t>220字/分钟口述</w:t>
            </w:r>
          </w:p>
        </w:tc>
        <w:tc>
          <w:tcPr>
            <w:tcW w:type="dxa" w:w="4731"/>
          </w:tcPr>
          <w:p>
            <w:r>
              <w:t>7.43分钟</w:t>
            </w:r>
          </w:p>
        </w:tc>
      </w:tr>
      <w:tr>
        <w:tc>
          <w:tcPr>
            <w:tcW w:type="dxa" w:w="4731"/>
          </w:tcPr>
          <w:p>
            <w:r>
              <w:t>240字/分钟口述</w:t>
            </w:r>
          </w:p>
        </w:tc>
        <w:tc>
          <w:tcPr>
            <w:tcW w:type="dxa" w:w="4731"/>
          </w:tcPr>
          <w:p>
            <w:r>
              <w:t>6.81分钟</w:t>
            </w:r>
          </w:p>
        </w:tc>
      </w:tr>
      <w:tr>
        <w:tc>
          <w:tcPr>
            <w:tcW w:type="dxa" w:w="4731"/>
          </w:tcPr>
          <w:p>
            <w:r>
              <w:t>视频建议</w:t>
            </w:r>
          </w:p>
        </w:tc>
        <w:tc>
          <w:tcPr>
            <w:tcW w:type="dxa" w:w="4731"/>
          </w:tcPr>
          <w:p>
            <w:r>
              <w:t>30秒（源文件约41.5秒）</w:t>
            </w:r>
          </w:p>
        </w:tc>
      </w:tr>
      <w:tr>
        <w:tc>
          <w:tcPr>
            <w:tcW w:type="dxa" w:w="4731"/>
          </w:tcPr>
          <w:p>
            <w:r>
              <w:t>换页和停顿</w:t>
            </w:r>
          </w:p>
        </w:tc>
        <w:tc>
          <w:tcPr>
            <w:tcW w:type="dxa" w:w="4731"/>
          </w:tcPr>
          <w:p>
            <w:r>
              <w:t>建议预留20—35秒</w:t>
            </w:r>
          </w:p>
        </w:tc>
      </w:tr>
      <w:tr>
        <w:tc>
          <w:tcPr>
            <w:tcW w:type="dxa" w:w="4731"/>
          </w:tcPr>
          <w:p>
            <w:r>
              <w:t>目标</w:t>
            </w:r>
          </w:p>
        </w:tc>
        <w:tc>
          <w:tcPr>
            <w:tcW w:type="dxa" w:w="4731"/>
          </w:tcPr>
          <w:p>
            <w:r>
              <w:t>正常排练应控制在8分钟内</w:t>
            </w:r>
          </w:p>
        </w:tc>
      </w:tr>
    </w:tbl>
    <w:p>
      <w:pPr>
        <w:pStyle w:val="Heading2"/>
      </w:pPr>
      <w:r>
        <w:t>对V1的关键调整</w:t>
      </w:r>
    </w:p>
    <w:p>
      <w:pPr/>
      <w:r>
        <w:t>V1的B角占比约24%，本次通过角色重新分工精确调整到近30%；由简单问答改为B承担业务共情、模型翻译、结尾点题；保留原稿“资源无统筹、投入无量化、管护无闭环”有力表述；删去缺证据的完成性措辞；增强与PPT第8至11页双模逻辑的一致性；重点强化“四队”作为区别于普通软件工具的机制落地。</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