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V3原稿逐项保留与修改对照</w:t>
      </w:r>
    </w:p>
    <w:p>
      <w:pPr>
        <w:jc w:val="center"/>
      </w:pPr>
      <w:r>
        <w:t>9.30原稿→V3→PPT页码→保留/调整原因</w:t>
      </w:r>
      <w:r>
        <w:t>资料审查日期：2026年10月19日  ·  版本V2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</w:tcPr>
          <w:p>
            <w:r>
              <w:t>9.30原稿核心内容</w:t>
            </w:r>
          </w:p>
        </w:tc>
        <w:tc>
          <w:tcPr>
            <w:tcW w:type="dxa" w:w="2365"/>
          </w:tcPr>
          <w:p>
            <w:r>
              <w:t>V3处理</w:t>
            </w:r>
          </w:p>
        </w:tc>
        <w:tc>
          <w:tcPr>
            <w:tcW w:type="dxa" w:w="2365"/>
          </w:tcPr>
          <w:p>
            <w:r>
              <w:t>PPT</w:t>
            </w:r>
          </w:p>
        </w:tc>
        <w:tc>
          <w:tcPr>
            <w:tcW w:type="dxa" w:w="2365"/>
          </w:tcPr>
          <w:p>
            <w:r>
              <w:t>原因</w:t>
            </w:r>
          </w:p>
        </w:tc>
      </w:tr>
      <w:tr>
        <w:tc>
          <w:tcPr>
            <w:tcW w:type="dxa" w:w="2365"/>
          </w:tcPr>
          <w:p>
            <w:r>
              <w:t>对烟农而言，烤房不是冰冷设备，而是烟叶提质增香的“匠心工坊”</w:t>
            </w:r>
          </w:p>
        </w:tc>
        <w:tc>
          <w:tcPr>
            <w:tcW w:type="dxa" w:w="2365"/>
          </w:tcPr>
          <w:p>
            <w:r>
              <w:t>保留，作为第3页情感引子</w:t>
            </w:r>
          </w:p>
        </w:tc>
        <w:tc>
          <w:tcPr>
            <w:tcW w:type="dxa" w:w="2365"/>
          </w:tcPr>
          <w:p>
            <w:r>
              <w:t>3</w:t>
            </w:r>
          </w:p>
        </w:tc>
        <w:tc>
          <w:tcPr>
            <w:tcW w:type="dxa" w:w="2365"/>
          </w:tcPr>
          <w:p>
            <w:r>
              <w:t>特色表达，不丢情感</w:t>
            </w:r>
          </w:p>
        </w:tc>
      </w:tr>
      <w:tr>
        <w:tc>
          <w:tcPr>
            <w:tcW w:type="dxa" w:w="2365"/>
          </w:tcPr>
          <w:p>
            <w:r>
              <w:t>资源无统筹、投入无量化、管护无闭环</w:t>
            </w:r>
          </w:p>
        </w:tc>
        <w:tc>
          <w:tcPr>
            <w:tcW w:type="dxa" w:w="2365"/>
          </w:tcPr>
          <w:p>
            <w:r>
              <w:t>基本保留作为第4页三缺</w:t>
            </w:r>
          </w:p>
        </w:tc>
        <w:tc>
          <w:tcPr>
            <w:tcW w:type="dxa" w:w="2365"/>
          </w:tcPr>
          <w:p>
            <w:r>
              <w:t>4</w:t>
            </w:r>
          </w:p>
        </w:tc>
        <w:tc>
          <w:tcPr>
            <w:tcW w:type="dxa" w:w="2365"/>
          </w:tcPr>
          <w:p>
            <w:r>
              <w:t>最有力的归因，PPT应同步</w:t>
            </w:r>
          </w:p>
        </w:tc>
      </w:tr>
      <w:tr>
        <w:tc>
          <w:tcPr>
            <w:tcW w:type="dxa" w:w="2365"/>
          </w:tcPr>
          <w:p>
            <w:r>
              <w:t>18个关键零部件，统一正常/损坏/缺失</w:t>
            </w:r>
          </w:p>
        </w:tc>
        <w:tc>
          <w:tcPr>
            <w:tcW w:type="dxa" w:w="2365"/>
          </w:tcPr>
          <w:p>
            <w:r>
              <w:t>保留“4大部位18项清查”，不混同健康模型12项参数</w:t>
            </w:r>
          </w:p>
        </w:tc>
        <w:tc>
          <w:tcPr>
            <w:tcW w:type="dxa" w:w="2365"/>
          </w:tcPr>
          <w:p>
            <w:r>
              <w:t>6/8</w:t>
            </w:r>
          </w:p>
        </w:tc>
        <w:tc>
          <w:tcPr>
            <w:tcW w:type="dxa" w:w="2365"/>
          </w:tcPr>
          <w:p>
            <w:r>
              <w:t>两个不同计量层级</w:t>
            </w:r>
          </w:p>
        </w:tc>
      </w:tr>
      <w:tr>
        <w:tc>
          <w:tcPr>
            <w:tcW w:type="dxa" w:w="2365"/>
          </w:tcPr>
          <w:p>
            <w:r>
              <w:t>部件状态80%、管护10%、评价10%</w:t>
            </w:r>
          </w:p>
        </w:tc>
        <w:tc>
          <w:tcPr>
            <w:tcW w:type="dxa" w:w="2365"/>
          </w:tcPr>
          <w:p>
            <w:r>
              <w:t>恢复进入模型1口播，AHP作为部件权重方法</w:t>
            </w:r>
          </w:p>
        </w:tc>
        <w:tc>
          <w:tcPr>
            <w:tcW w:type="dxa" w:w="2365"/>
          </w:tcPr>
          <w:p>
            <w:r>
              <w:t>8/9</w:t>
            </w:r>
          </w:p>
        </w:tc>
        <w:tc>
          <w:tcPr>
            <w:tcW w:type="dxa" w:w="2365"/>
          </w:tcPr>
          <w:p>
            <w:r>
              <w:t>体现技术可信度</w:t>
            </w:r>
          </w:p>
        </w:tc>
      </w:tr>
      <w:tr>
        <w:tc>
          <w:tcPr>
            <w:tcW w:type="dxa" w:w="2365"/>
          </w:tcPr>
          <w:p>
            <w:r>
              <w:t>60分安全预警线</w:t>
            </w:r>
          </w:p>
        </w:tc>
        <w:tc>
          <w:tcPr>
            <w:tcW w:type="dxa" w:w="2365"/>
          </w:tcPr>
          <w:p>
            <w:r>
              <w:t>保留健康分低于60分的340多座对象，但不直接称已完成维修</w:t>
            </w:r>
          </w:p>
        </w:tc>
        <w:tc>
          <w:tcPr>
            <w:tcW w:type="dxa" w:w="2365"/>
          </w:tcPr>
          <w:p>
            <w:r>
              <w:t>9/16/22</w:t>
            </w:r>
          </w:p>
        </w:tc>
        <w:tc>
          <w:tcPr>
            <w:tcW w:type="dxa" w:w="2365"/>
          </w:tcPr>
          <w:p>
            <w:r>
              <w:t>防止把预警数量冒充修复实绩</w:t>
            </w:r>
          </w:p>
        </w:tc>
      </w:tr>
      <w:tr>
        <w:tc>
          <w:tcPr>
            <w:tcW w:type="dxa" w:w="2365"/>
          </w:tcPr>
          <w:p>
            <w:r>
              <w:t>用熵权法和TOPSIS模型指导建设</w:t>
            </w:r>
          </w:p>
        </w:tc>
        <w:tc>
          <w:tcPr>
            <w:tcW w:type="dxa" w:w="2365"/>
          </w:tcPr>
          <w:p>
            <w:r>
              <w:t>加强为数需评推、Q/D、AHP+熵权、TOPSIS、沙盘</w:t>
            </w:r>
          </w:p>
        </w:tc>
        <w:tc>
          <w:tcPr>
            <w:tcW w:type="dxa" w:w="2365"/>
          </w:tcPr>
          <w:p>
            <w:r>
              <w:t>10/11</w:t>
            </w:r>
          </w:p>
        </w:tc>
        <w:tc>
          <w:tcPr>
            <w:tcW w:type="dxa" w:w="2365"/>
          </w:tcPr>
          <w:p>
            <w:r>
              <w:t>覆盖真实PPT全部技术结构</w:t>
            </w:r>
          </w:p>
        </w:tc>
      </w:tr>
      <w:tr>
        <w:tc>
          <w:tcPr>
            <w:tcW w:type="dxa" w:w="2365"/>
          </w:tcPr>
          <w:p>
            <w:r>
              <w:t>2026年完成150栋设备升级、肖家坪新建7栋</w:t>
            </w:r>
          </w:p>
        </w:tc>
        <w:tc>
          <w:tcPr>
            <w:tcW w:type="dxa" w:w="2365"/>
          </w:tcPr>
          <w:p>
            <w:r>
              <w:t>从主稿移到备答待核，不宣称完成</w:t>
            </w:r>
          </w:p>
        </w:tc>
        <w:tc>
          <w:tcPr>
            <w:tcW w:type="dxa" w:w="2365"/>
          </w:tcPr>
          <w:p>
            <w:r>
              <w:t>16/17</w:t>
            </w:r>
          </w:p>
        </w:tc>
        <w:tc>
          <w:tcPr>
            <w:tcW w:type="dxa" w:w="2365"/>
          </w:tcPr>
          <w:p>
            <w:r>
              <w:t>缺少对应验收支持</w:t>
            </w:r>
          </w:p>
        </w:tc>
      </w:tr>
      <w:tr>
        <w:tc>
          <w:tcPr>
            <w:tcW w:type="dxa" w:w="2365"/>
          </w:tcPr>
          <w:p>
            <w:r>
              <w:t>磨坪站雷击突发停运、3小时复产</w:t>
            </w:r>
          </w:p>
        </w:tc>
        <w:tc>
          <w:tcPr>
            <w:tcW w:type="dxa" w:w="2365"/>
          </w:tcPr>
          <w:p>
            <w:r>
              <w:t>保留雷雨故障情境，原稿具体案例列为待核</w:t>
            </w:r>
          </w:p>
        </w:tc>
        <w:tc>
          <w:tcPr>
            <w:tcW w:type="dxa" w:w="2365"/>
          </w:tcPr>
          <w:p>
            <w:r>
              <w:t>14/15</w:t>
            </w:r>
          </w:p>
        </w:tc>
        <w:tc>
          <w:tcPr>
            <w:tcW w:type="dxa" w:w="2365"/>
          </w:tcPr>
          <w:p>
            <w:r>
              <w:t>保护现场故事，避免不实细节</w:t>
            </w:r>
          </w:p>
        </w:tc>
      </w:tr>
      <w:tr>
        <w:tc>
          <w:tcPr>
            <w:tcW w:type="dxa" w:w="2365"/>
          </w:tcPr>
          <w:p>
            <w:r>
              <w:t>设备影像12478张、评价6704条</w:t>
            </w:r>
          </w:p>
        </w:tc>
        <w:tc>
          <w:tcPr>
            <w:tcW w:type="dxa" w:w="2365"/>
          </w:tcPr>
          <w:p>
            <w:r>
              <w:t>纳入待核原始数据清单，不直接报为官方成果</w:t>
            </w:r>
          </w:p>
        </w:tc>
        <w:tc>
          <w:tcPr>
            <w:tcW w:type="dxa" w:w="2365"/>
          </w:tcPr>
          <w:p>
            <w:r>
              <w:t>6/22</w:t>
            </w:r>
          </w:p>
        </w:tc>
        <w:tc>
          <w:tcPr>
            <w:tcW w:type="dxa" w:w="2365"/>
          </w:tcPr>
          <w:p>
            <w:r>
              <w:t>现有正式报告中未找到对应原始计数</w:t>
            </w:r>
          </w:p>
        </w:tc>
      </w:tr>
      <w:tr>
        <w:tc>
          <w:tcPr>
            <w:tcW w:type="dxa" w:w="2365"/>
          </w:tcPr>
          <w:p>
            <w:r>
              <w:t>66人专业团队</w:t>
            </w:r>
          </w:p>
        </w:tc>
        <w:tc>
          <w:tcPr>
            <w:tcW w:type="dxa" w:w="2365"/>
          </w:tcPr>
          <w:p>
            <w:r>
              <w:t>保留四支队伍，待有花名册后再加入66人</w:t>
            </w:r>
          </w:p>
        </w:tc>
        <w:tc>
          <w:tcPr>
            <w:tcW w:type="dxa" w:w="2365"/>
          </w:tcPr>
          <w:p>
            <w:r>
              <w:t>20/21</w:t>
            </w:r>
          </w:p>
        </w:tc>
        <w:tc>
          <w:tcPr>
            <w:tcW w:type="dxa" w:w="2365"/>
          </w:tcPr>
          <w:p>
            <w:r>
              <w:t>以人员名册为证</w:t>
            </w:r>
          </w:p>
        </w:tc>
      </w:tr>
      <w:tr>
        <w:tc>
          <w:tcPr>
            <w:tcW w:type="dxa" w:w="2365"/>
          </w:tcPr>
          <w:p>
            <w:r>
              <w:t>当年基金结余超100万元</w:t>
            </w:r>
          </w:p>
        </w:tc>
        <w:tc>
          <w:tcPr>
            <w:tcW w:type="dxa" w:w="2365"/>
          </w:tcPr>
          <w:p>
            <w:r>
              <w:t>用“基金总额近190万元”替代</w:t>
            </w:r>
          </w:p>
        </w:tc>
        <w:tc>
          <w:tcPr>
            <w:tcW w:type="dxa" w:w="2365"/>
          </w:tcPr>
          <w:p>
            <w:r>
              <w:t>20/22</w:t>
            </w:r>
          </w:p>
        </w:tc>
        <w:tc>
          <w:tcPr>
            <w:tcW w:type="dxa" w:w="2365"/>
          </w:tcPr>
          <w:p>
            <w:r>
              <w:t>总额不是当期结余</w:t>
            </w:r>
          </w:p>
        </w:tc>
      </w:tr>
      <w:tr>
        <w:tc>
          <w:tcPr>
            <w:tcW w:type="dxa" w:w="2365"/>
          </w:tcPr>
          <w:p>
            <w:r>
              <w:t>满意度95.8%</w:t>
            </w:r>
          </w:p>
        </w:tc>
        <w:tc>
          <w:tcPr>
            <w:tcW w:type="dxa" w:w="2365"/>
          </w:tcPr>
          <w:p>
            <w:r>
              <w:t>调整为531份有效问卷、96.8%综合满意度</w:t>
            </w:r>
          </w:p>
        </w:tc>
        <w:tc>
          <w:tcPr>
            <w:tcW w:type="dxa" w:w="2365"/>
          </w:tcPr>
          <w:p>
            <w:r>
              <w:t>22</w:t>
            </w:r>
          </w:p>
        </w:tc>
        <w:tc>
          <w:tcPr>
            <w:tcW w:type="dxa" w:w="2365"/>
          </w:tcPr>
          <w:p>
            <w:r>
              <w:t>按官方数创成果报告</w:t>
            </w:r>
          </w:p>
        </w:tc>
      </w:tr>
      <w:tr>
        <w:tc>
          <w:tcPr>
            <w:tcW w:type="dxa" w:w="2365"/>
          </w:tcPr>
          <w:p>
            <w:r>
              <w:t>工单平均响应0.5小时</w:t>
            </w:r>
          </w:p>
        </w:tc>
        <w:tc>
          <w:tcPr>
            <w:tcW w:type="dxa" w:w="2365"/>
          </w:tcPr>
          <w:p>
            <w:r>
              <w:t>调整为16条样本平均响应0.38小时</w:t>
            </w:r>
          </w:p>
        </w:tc>
        <w:tc>
          <w:tcPr>
            <w:tcW w:type="dxa" w:w="2365"/>
          </w:tcPr>
          <w:p>
            <w:r>
              <w:t>15/22</w:t>
            </w:r>
          </w:p>
        </w:tc>
        <w:tc>
          <w:tcPr>
            <w:tcW w:type="dxa" w:w="2365"/>
          </w:tcPr>
          <w:p>
            <w:r>
              <w:t>精确限定样本和指标</w:t>
            </w:r>
          </w:p>
        </w:tc>
      </w:tr>
      <w:tr>
        <w:tc>
          <w:tcPr>
            <w:tcW w:type="dxa" w:w="2365"/>
          </w:tcPr>
          <w:p>
            <w:r>
              <w:t>从经验挣扎到数据赋能</w:t>
            </w:r>
          </w:p>
        </w:tc>
        <w:tc>
          <w:tcPr>
            <w:tcW w:type="dxa" w:w="2365"/>
          </w:tcPr>
          <w:p>
            <w:r>
              <w:t>改为经验判断→量化辅助、被动抢修→风险预警</w:t>
            </w:r>
          </w:p>
        </w:tc>
        <w:tc>
          <w:tcPr>
            <w:tcW w:type="dxa" w:w="2365"/>
          </w:tcPr>
          <w:p>
            <w:r>
              <w:t>23</w:t>
            </w:r>
          </w:p>
        </w:tc>
        <w:tc>
          <w:tcPr>
            <w:tcW w:type="dxa" w:w="2365"/>
          </w:tcPr>
          <w:p>
            <w:r>
              <w:t>少空泛，更稳妥</w:t>
            </w:r>
          </w:p>
        </w:tc>
      </w:tr>
      <w:tr>
        <w:tc>
          <w:tcPr>
            <w:tcW w:type="dxa" w:w="2365"/>
          </w:tcPr>
          <w:p>
            <w:r>
              <w:t>三共一公、产权公有、专业管护、有偿服务</w:t>
            </w:r>
          </w:p>
        </w:tc>
        <w:tc>
          <w:tcPr>
            <w:tcW w:type="dxa" w:w="2365"/>
          </w:tcPr>
          <w:p>
            <w:r>
              <w:t>保留合作社机制与制度、基金的实质；口播浓缩为“队伍+制度+基金”</w:t>
            </w:r>
          </w:p>
        </w:tc>
        <w:tc>
          <w:tcPr>
            <w:tcW w:type="dxa" w:w="2365"/>
          </w:tcPr>
          <w:p>
            <w:r>
              <w:t>20/21</w:t>
            </w:r>
          </w:p>
        </w:tc>
        <w:tc>
          <w:tcPr>
            <w:tcW w:type="dxa" w:w="2365"/>
          </w:tcPr>
          <w:p>
            <w:r>
              <w:t>跨条线更好理解，详细机制列备答</w:t>
            </w:r>
          </w:p>
        </w:tc>
      </w:tr>
    </w:tbl>
    <w:p>
      <w:pPr>
        <w:pStyle w:val="Heading2"/>
      </w:pPr>
      <w:r>
        <w:t>补充说明</w:t>
      </w:r>
    </w:p>
    <w:p>
      <w:pPr/>
      <w:r>
        <w:t>文字对照针对代表性段落，完整原稿与V3全文分别保存在仓库中。对于项目技术、资金额度、维修完成状态等结论，下一轮如有新增正式验收台账或证明，应优先完善事实而不是简单用更响亮的措辞替代。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