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0365E"/>
          <w:sz w:val="36"/>
        </w:rPr>
        <w:t>V3双模型专业底稿与决赛答辩问答</w:t>
      </w:r>
    </w:p>
    <w:p>
      <w:pPr>
        <w:jc w:val="center"/>
      </w:pPr>
      <w:r>
        <w:t>公式—业务解释—可验证输入输出；配合PPT第8—11页</w:t>
      </w:r>
      <w:r>
        <w:t>资料审查日期：2026年10月19日  ·  版本V2</w:t>
      </w:r>
    </w:p>
    <w:p>
      <w:pPr>
        <w:pStyle w:val="Heading2"/>
      </w:pPr>
      <w:r>
        <w:t>一、健康评估模型（对应P8—P9）</w:t>
      </w:r>
    </w:p>
    <w:p>
      <w:pPr/>
      <w:r>
        <w:t>台上讲法：“给烤房做体检”。输入基础档案、部件数据、检查评价、维修记录。逐部件计算，再以专家权重形成整栋健康分；结合寿命分析给出剩余可用年限的估计；输出风险烤房、风险部位、维修优先级。</w:t>
      </w:r>
    </w:p>
    <w:p>
      <w:pPr/>
      <w:r>
        <w:t>技术图例：H=0.80×P_norm+0.10×M+0.10×E，其中P_norm是部件加权后的标准化评分，M为管护方式评分，E为人工评价。PPT第8页图也给出了部件指导寿命、使用年限、状态系数和风险部位TOP3。</w:t>
      </w:r>
    </w:p>
    <w:p>
      <w:pPr/>
      <w:r>
        <w:t>寿命预测风险：PPT第8页是短板与平均剩余寿命合成的明确表达，第9页写Weibull分布拟合，两页的方法关系需要研发组统一。威布尔拟合需足够的故障时间数据。建议答辩说明当前有效实现、参数校准及人工核验边界。</w:t>
      </w:r>
    </w:p>
    <w:p>
      <w:pPr/>
      <w:r>
        <w:t>为何用AHP：烤房关键部件的重要程度并不相同，需用专家判断确定合理权重，再做一致性检查。权重不是让专家凭感觉决定全部结果，部件状态、年限和评价仍来自现场数据。</w:t>
      </w:r>
    </w:p>
    <w:p>
      <w:pPr>
        <w:pStyle w:val="Heading2"/>
      </w:pPr>
      <w:r>
        <w:t>二、千亩村发展导引模型（对应P10—P11）</w:t>
      </w:r>
    </w:p>
    <w:p>
      <w:pPr/>
      <w:r>
        <w:t>数据入模（数）：已有烤房基础、生产布局、烟叶种植、村级发展、候选点及专家参数。必须明确数据的年度与空间粒度。</w:t>
      </w:r>
    </w:p>
    <w:p>
      <w:pPr/>
      <w:r>
        <w:t>需求判断（需）：根据单栋健康状态折算有效烤能Q，计算理论烟叶烘烤需求D，由供需关系形成需求分N与村级发展指数V。此步骤使“旧房该不该修”与“新房需不需要建”发生联系。</w:t>
      </w:r>
    </w:p>
    <w:p>
      <w:pPr/>
      <w:r>
        <w:t>候选评价（评）：AHP反映行业专业判断，熵权法反映客观指标在候选村间的区分度；组合赋权后利用TOPSIS比较候选地点，形成点位优先排序。</w:t>
      </w:r>
    </w:p>
    <w:p>
      <w:pPr/>
      <w:r>
        <w:t>情景推演（推）：改变新增栋数及空间位置，重新估算区域可用烤能、理论需求缺口和发展指数，给出对比情景；现场踏勘和审批权仍由责任部门掌握。</w:t>
      </w:r>
    </w:p>
    <w:p>
      <w:pPr>
        <w:pStyle w:val="Heading2"/>
      </w:pPr>
      <w:r>
        <w:t>三、评委常见追问</w:t>
      </w:r>
    </w:p>
    <w:p>
      <w:pPr/>
      <w:r>
        <w:t>问：数据从哪里来，怎么保证有效？答：来自现场拍照/GPS/表单、档案、维修、评价，统一编码、字段校验及责任审核，待补充现场抽样核验记录。</w:t>
      </w:r>
    </w:p>
    <w:p>
      <w:pPr/>
      <w:r>
        <w:t>问：为什么不是单纯按建设年代修？答：不同部件状态与维保履历不同，健康分为多因子辅助研判，可以从全量中筛出重点，再由维修人员复核。</w:t>
      </w:r>
    </w:p>
    <w:p>
      <w:pPr/>
      <w:r>
        <w:t>问：如何避免重复建设？答：先盘活并修复有效存量，村级发展模型以有效烤能而非名义数量和单方诉求比较真实需求，再通过情景推演做方案对照。</w:t>
      </w:r>
    </w:p>
    <w:p>
      <w:pPr/>
      <w:r>
        <w:t>问：AI助手做什么？答：授权业务查询与统计解释，不替代烟草部门及合作社的维修审批、验收和建设决策。</w:t>
      </w:r>
    </w:p>
    <w:p>
      <w:pPr/>
      <w:r>
        <w:t>问：为什么四队是创新？答：将数字化产生的派单、巡检、修复与验收安排落实到具体角色和基金制度，避免系统与线下处置脱节。</w:t>
      </w:r>
    </w:p>
    <w:p>
      <w:pPr/>
      <w:r>
        <w:t>问：成果达到哪些量化指标？答：2442全口径建档，340多座低于60分，48次调剂，18次报修，16条工单平均响应0.38小时，531份问卷96.8%，1363/1672约81%，基金总额近190万。</w:t>
      </w:r>
    </w:p>
    <w:p>
      <w:pPr/>
      <w:r>
        <w:t>问：项目推广到其他县需要什么？答：校准当地部件映射、烤房编号、烟叶需求、选址参数、队伍与费用机制，秭归的一个烤季试点结果不能直接等同全省效果。</w:t>
      </w:r>
    </w:p>
    <w:sectPr w:rsidR="00FC693F" w:rsidRPr="0006063C" w:rsidSect="00034616">
      <w:pgSz w:w="12240" w:h="15840"/>
      <w:pgMar w:top="1361" w:right="1361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仿宋_GB2312" w:hAnsi="仿宋_GB2312" w:eastAsia="仿宋_GB231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