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V6重建：9.30原稿与V1—V5优势融合、QC对照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原版优点或问题</w:t>
            </w:r>
          </w:p>
        </w:tc>
        <w:tc>
          <w:tcPr>
            <w:tcW w:type="dxa" w:w="4320"/>
          </w:tcPr>
          <w:p>
            <w:r>
              <w:t>V6处理</w:t>
            </w:r>
          </w:p>
        </w:tc>
      </w:tr>
      <w:tr>
        <w:tc>
          <w:tcPr>
            <w:tcW w:type="dxa" w:w="4320"/>
          </w:tcPr>
          <w:p>
            <w:r>
              <w:t>旧V6自称评委等生硬台词</w:t>
            </w:r>
          </w:p>
        </w:tc>
        <w:tc>
          <w:tcPr>
            <w:tcW w:type="dxa" w:w="4320"/>
          </w:tcPr>
          <w:p>
            <w:r>
              <w:t>全部删除；B以发布同伴身份自然设问和承接事实</w:t>
            </w:r>
          </w:p>
        </w:tc>
      </w:tr>
      <w:tr>
        <w:tc>
          <w:tcPr>
            <w:tcW w:type="dxa" w:w="4320"/>
          </w:tcPr>
          <w:p>
            <w:r>
              <w:t>9.30匠心工坊和三缺</w:t>
            </w:r>
          </w:p>
        </w:tc>
        <w:tc>
          <w:tcPr>
            <w:tcW w:type="dxa" w:w="4320"/>
          </w:tcPr>
          <w:p>
            <w:r>
              <w:t>保留烟农收成的情感锚点、三个管理问题</w:t>
            </w:r>
          </w:p>
        </w:tc>
      </w:tr>
      <w:tr>
        <w:tc>
          <w:tcPr>
            <w:tcW w:type="dxa" w:w="4320"/>
          </w:tcPr>
          <w:p>
            <w:r>
              <w:t>V1—V3情绪与技术</w:t>
            </w:r>
          </w:p>
        </w:tc>
        <w:tc>
          <w:tcPr>
            <w:tcW w:type="dxa" w:w="4320"/>
          </w:tcPr>
          <w:p>
            <w:r>
              <w:t>保留排比，完整讲两模输入、计算、输出，不泛化</w:t>
            </w:r>
          </w:p>
        </w:tc>
      </w:tr>
      <w:tr>
        <w:tc>
          <w:tcPr>
            <w:tcW w:type="dxa" w:w="4320"/>
          </w:tcPr>
          <w:p>
            <w:r>
              <w:t>V4—V5业绩与治理</w:t>
            </w:r>
          </w:p>
        </w:tc>
        <w:tc>
          <w:tcPr>
            <w:tcW w:type="dxa" w:w="4320"/>
          </w:tcPr>
          <w:p>
            <w:r>
              <w:t>保留调剂、报修、满意度、四队和基金的真实统计口径</w:t>
            </w:r>
          </w:p>
        </w:tc>
      </w:tr>
      <w:tr>
        <w:tc>
          <w:tcPr>
            <w:tcW w:type="dxa" w:w="4320"/>
          </w:tcPr>
          <w:p>
            <w:r>
              <w:t>QC发布词论证方式</w:t>
            </w:r>
          </w:p>
        </w:tc>
        <w:tc>
          <w:tcPr>
            <w:tcW w:type="dxa" w:w="4320"/>
          </w:tcPr>
          <w:p>
            <w:r>
              <w:t>问题→方法→实证→固化，保留专业性而不混用成果</w:t>
            </w:r>
          </w:p>
        </w:tc>
      </w:tr>
      <w:tr>
        <w:tc>
          <w:tcPr>
            <w:tcW w:type="dxa" w:w="4320"/>
          </w:tcPr>
          <w:p>
            <w:r>
              <w:t>PPT与技术一致性</w:t>
            </w:r>
          </w:p>
        </w:tc>
        <w:tc>
          <w:tcPr>
            <w:tcW w:type="dxa" w:w="4320"/>
          </w:tcPr>
          <w:p>
            <w:r>
              <w:t>备答确认18清查项与12计算项映射、P8/P9寿命估算方式</w:t>
            </w:r>
          </w:p>
        </w:tc>
      </w:tr>
    </w:tbl>
    <w:p>
      <w:pPr>
        <w:pStyle w:val="Heading2"/>
      </w:pPr>
      <w:r>
        <w:t>需要赛前核实的技术细节</w:t>
      </w:r>
    </w:p>
    <w:p>
      <w:r>
        <w:t>1. 现场清查18项与模型计算12参数如何映射；请研发人员携完整字段字典。</w:t>
      </w:r>
    </w:p>
    <w:p>
      <w:r>
        <w:t>2. PPT第8页寿命合成路径和第9页Weibull文字是否对应同一模型版本；不要将未证实的拟合精度写进口播。</w:t>
      </w:r>
    </w:p>
    <w:p>
      <w:r>
        <w:t>3. 18次报修与16条平台工单的统计范围差异；响应时间与完成时间不得混淆。</w:t>
      </w:r>
    </w:p>
    <w:p>
      <w:r>
        <w:t>4. 秩序口径：基金总额不是期末余额；预警对象不是已修复对象；新建候选排名不等于已经获批。</w:t>
      </w:r>
    </w:p>
    <w:p>
      <w:r>
        <w:t>5. 30秒视频、25页换页和现场停顿需要联合计时；本稿书面预算约7分39秒，仍须实际彩排。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