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09411">
      <w:pPr>
        <w:adjustRightInd w:val="0"/>
        <w:snapToGrid w:val="0"/>
        <w:spacing w:line="540" w:lineRule="exact"/>
        <w:ind w:firstLine="0" w:firstLineChars="0"/>
        <w:jc w:val="left"/>
        <w:rPr>
          <w:rFonts w:hint="eastAsia" w:ascii="黑体" w:hAnsi="黑体" w:eastAsia="黑体" w:cs="黑体"/>
          <w:sz w:val="30"/>
          <w:szCs w:val="30"/>
          <w14:ligatures w14:val="none"/>
        </w:rPr>
      </w:pPr>
      <w:r>
        <w:rPr>
          <w:rFonts w:hint="eastAsia" w:ascii="黑体" w:hAnsi="黑体" w:eastAsia="黑体" w:cs="黑体"/>
          <w:sz w:val="30"/>
          <w:szCs w:val="30"/>
          <w14:ligatures w14:val="none"/>
        </w:rPr>
        <w:t>附件2</w:t>
      </w:r>
    </w:p>
    <w:p w14:paraId="3F3D2D50">
      <w:pPr>
        <w:adjustRightInd w:val="0"/>
        <w:snapToGrid w:val="0"/>
        <w:spacing w:line="540" w:lineRule="exact"/>
        <w:ind w:firstLine="0" w:firstLineChars="0"/>
        <w:jc w:val="center"/>
        <w:rPr>
          <w:rFonts w:hint="eastAsia" w:ascii="方正小标宋简体" w:hAnsi="华文中宋" w:eastAsia="方正小标宋简体" w:cs="Times New Roman"/>
          <w:sz w:val="44"/>
          <w:szCs w:val="44"/>
          <w14:ligatures w14:val="none"/>
        </w:rPr>
      </w:pPr>
    </w:p>
    <w:p w14:paraId="29002770">
      <w:pPr>
        <w:adjustRightInd w:val="0"/>
        <w:snapToGrid w:val="0"/>
        <w:spacing w:line="540" w:lineRule="exact"/>
        <w:ind w:firstLine="0" w:firstLineChars="0"/>
        <w:jc w:val="center"/>
        <w:rPr>
          <w:rFonts w:hint="eastAsia" w:ascii="方正小标宋简体" w:hAnsi="华文中宋" w:eastAsia="方正小标宋简体" w:cs="Times New Roman"/>
          <w:sz w:val="44"/>
          <w:szCs w:val="44"/>
          <w14:ligatures w14:val="none"/>
        </w:rPr>
      </w:pPr>
    </w:p>
    <w:p w14:paraId="05F5B135">
      <w:pPr>
        <w:adjustRightInd w:val="0"/>
        <w:snapToGrid w:val="0"/>
        <w:spacing w:line="540" w:lineRule="exact"/>
        <w:ind w:firstLine="0" w:firstLineChars="0"/>
        <w:jc w:val="center"/>
        <w:rPr>
          <w:rFonts w:hint="eastAsia" w:ascii="方正小标宋简体" w:hAnsi="华文中宋" w:eastAsia="方正小标宋简体" w:cs="Times New Roman"/>
          <w:sz w:val="44"/>
          <w:szCs w:val="44"/>
          <w14:ligatures w14:val="none"/>
        </w:rPr>
      </w:pPr>
    </w:p>
    <w:p w14:paraId="3D9BF69A">
      <w:pPr>
        <w:adjustRightInd w:val="0"/>
        <w:snapToGrid w:val="0"/>
        <w:spacing w:line="540" w:lineRule="exact"/>
        <w:ind w:firstLine="0" w:firstLineChars="0"/>
        <w:jc w:val="center"/>
        <w:rPr>
          <w:rFonts w:hint="eastAsia" w:ascii="黑体" w:hAnsi="黑体" w:eastAsia="黑体" w:cs="黑体"/>
          <w:sz w:val="44"/>
          <w:szCs w:val="44"/>
          <w14:ligatures w14:val="none"/>
        </w:rPr>
      </w:pPr>
    </w:p>
    <w:p w14:paraId="23503C34">
      <w:pPr>
        <w:adjustRightInd w:val="0"/>
        <w:snapToGrid w:val="0"/>
        <w:spacing w:line="540" w:lineRule="exact"/>
        <w:ind w:firstLine="0" w:firstLineChars="0"/>
        <w:jc w:val="center"/>
        <w:rPr>
          <w:rFonts w:hint="eastAsia" w:ascii="黑体" w:hAnsi="黑体" w:eastAsia="黑体" w:cs="黑体"/>
          <w:sz w:val="44"/>
          <w:szCs w:val="44"/>
          <w14:ligatures w14:val="none"/>
        </w:rPr>
      </w:pPr>
      <w:r>
        <w:rPr>
          <w:rFonts w:hint="eastAsia" w:ascii="黑体" w:hAnsi="黑体" w:eastAsia="黑体" w:cs="黑体"/>
          <w:sz w:val="44"/>
          <w:szCs w:val="44"/>
          <w14:ligatures w14:val="none"/>
        </w:rPr>
        <w:t>2026年数字化转型创客大赛</w:t>
      </w:r>
    </w:p>
    <w:p w14:paraId="58224A97">
      <w:pPr>
        <w:adjustRightInd w:val="0"/>
        <w:snapToGrid w:val="0"/>
        <w:spacing w:line="540" w:lineRule="exact"/>
        <w:ind w:firstLine="0" w:firstLineChars="0"/>
        <w:jc w:val="center"/>
        <w:rPr>
          <w:rFonts w:hint="eastAsia" w:ascii="黑体" w:hAnsi="黑体" w:eastAsia="黑体" w:cs="黑体"/>
          <w:sz w:val="44"/>
          <w:szCs w:val="44"/>
          <w14:ligatures w14:val="none"/>
        </w:rPr>
      </w:pPr>
      <w:r>
        <w:rPr>
          <w:rFonts w:hint="eastAsia" w:ascii="黑体" w:hAnsi="黑体" w:eastAsia="黑体" w:cs="黑体"/>
          <w:sz w:val="44"/>
          <w:szCs w:val="44"/>
          <w14:ligatures w14:val="none"/>
        </w:rPr>
        <w:t>数创成果报告</w:t>
      </w:r>
    </w:p>
    <w:p w14:paraId="3694696F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 w:cs="Times New Roman"/>
          <w:sz w:val="30"/>
          <w:szCs w:val="30"/>
          <w14:ligatures w14:val="none"/>
        </w:rPr>
      </w:pPr>
    </w:p>
    <w:p w14:paraId="769D9459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 w:cs="Times New Roman"/>
          <w:sz w:val="30"/>
          <w:szCs w:val="30"/>
          <w14:ligatures w14:val="none"/>
        </w:rPr>
      </w:pPr>
    </w:p>
    <w:p w14:paraId="1651100C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 w:cs="Times New Roman"/>
          <w:sz w:val="30"/>
          <w:szCs w:val="30"/>
          <w14:ligatures w14:val="none"/>
        </w:rPr>
      </w:pPr>
    </w:p>
    <w:p w14:paraId="3EE15D9F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 w:cs="Times New Roman"/>
          <w:sz w:val="30"/>
          <w:szCs w:val="30"/>
          <w14:ligatures w14:val="none"/>
        </w:rPr>
      </w:pPr>
    </w:p>
    <w:p w14:paraId="66D17E9E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 w:cs="Times New Roman"/>
          <w:sz w:val="30"/>
          <w:szCs w:val="30"/>
          <w14:ligatures w14:val="none"/>
        </w:rPr>
      </w:pPr>
    </w:p>
    <w:p w14:paraId="0DF355C8">
      <w:pPr>
        <w:adjustRightInd w:val="0"/>
        <w:snapToGrid w:val="0"/>
        <w:spacing w:line="540" w:lineRule="exact"/>
        <w:ind w:left="0" w:leftChars="0" w:firstLine="0" w:firstLineChars="0"/>
        <w:rPr>
          <w:rFonts w:hint="eastAsia" w:ascii="方正楷体" w:hAnsi="黑体" w:eastAsia="方正楷体" w:cs="Times New Roman"/>
          <w:sz w:val="30"/>
          <w:szCs w:val="30"/>
          <w14:ligatures w14:val="none"/>
        </w:rPr>
      </w:pPr>
    </w:p>
    <w:p w14:paraId="2A17F581">
      <w:pPr>
        <w:adjustRightInd w:val="0"/>
        <w:snapToGrid w:val="0"/>
        <w:spacing w:line="540" w:lineRule="exact"/>
        <w:ind w:left="0" w:leftChars="0" w:firstLine="0" w:firstLineChars="0"/>
        <w:rPr>
          <w:rFonts w:hint="eastAsia" w:ascii="方正楷体" w:hAnsi="黑体" w:eastAsia="方正楷体" w:cs="Times New Roman"/>
          <w:sz w:val="30"/>
          <w:szCs w:val="30"/>
          <w14:ligatures w14:val="none"/>
        </w:rPr>
      </w:pPr>
    </w:p>
    <w:p w14:paraId="4B2EA017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 w:cs="Times New Roman"/>
          <w:sz w:val="30"/>
          <w:szCs w:val="30"/>
          <w14:ligatures w14:val="none"/>
        </w:rPr>
      </w:pPr>
    </w:p>
    <w:p w14:paraId="56C0624E">
      <w:pPr>
        <w:adjustRightInd w:val="0"/>
        <w:snapToGrid w:val="0"/>
        <w:spacing w:line="540" w:lineRule="exact"/>
        <w:ind w:firstLine="900" w:firstLineChars="300"/>
        <w:rPr>
          <w:rFonts w:hint="eastAsia" w:ascii="方正仿宋" w:hAnsi="黑体" w:eastAsia="方正仿宋" w:cs="Times New Roman"/>
          <w:sz w:val="30"/>
          <w:szCs w:val="30"/>
          <w14:ligatures w14:val="none"/>
        </w:rPr>
      </w:pPr>
    </w:p>
    <w:p w14:paraId="695F896F">
      <w:pPr>
        <w:adjustRightInd w:val="0"/>
        <w:snapToGrid w:val="0"/>
        <w:spacing w:line="540" w:lineRule="exact"/>
        <w:ind w:firstLine="900" w:firstLineChars="300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方正仿宋" w:hAnsi="黑体" w:eastAsia="方正仿宋" w:cs="Times New Roman"/>
          <w:sz w:val="30"/>
          <w:szCs w:val="30"/>
          <w14:ligatures w14:val="none"/>
        </w:rPr>
        <w:t>成 果 名 称：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u w:val="single"/>
          <w:lang w:val="en-US" w:eastAsia="zh-CN"/>
        </w:rPr>
        <w:t>智烤管家--基于健康评估的烤房用投管一体化</w:t>
      </w:r>
    </w:p>
    <w:p w14:paraId="2D881CE9">
      <w:pPr>
        <w:adjustRightInd w:val="0"/>
        <w:snapToGrid w:val="0"/>
        <w:spacing w:line="540" w:lineRule="exact"/>
        <w:ind w:firstLine="2800" w:firstLineChars="1000"/>
        <w:rPr>
          <w:rFonts w:hint="eastAsia" w:ascii="方正仿宋" w:hAnsi="黑体" w:eastAsia="方正仿宋" w:cs="Times New Roman"/>
          <w:sz w:val="30"/>
          <w:szCs w:val="30"/>
          <w:u w:val="single"/>
          <w14:ligatures w14:val="none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u w:val="single"/>
          <w:lang w:val="en-US" w:eastAsia="zh-CN"/>
        </w:rPr>
        <w:t>解决方案</w:t>
      </w:r>
      <w:r>
        <w:rPr>
          <w:rFonts w:hint="eastAsia" w:ascii="方正仿宋" w:hAnsi="黑体" w:eastAsia="方正仿宋" w:cs="Times New Roman"/>
          <w:sz w:val="30"/>
          <w:szCs w:val="30"/>
          <w:u w:val="single"/>
          <w14:ligatures w14:val="none"/>
        </w:rPr>
        <w:t xml:space="preserve">                               </w:t>
      </w:r>
    </w:p>
    <w:p w14:paraId="35AD0087">
      <w:pPr>
        <w:adjustRightInd w:val="0"/>
        <w:snapToGrid w:val="0"/>
        <w:spacing w:line="540" w:lineRule="exact"/>
        <w:ind w:firstLine="900" w:firstLineChars="300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方正仿宋" w:hAnsi="黑体" w:eastAsia="方正仿宋" w:cs="Times New Roman"/>
          <w:sz w:val="30"/>
          <w:szCs w:val="30"/>
          <w14:ligatures w14:val="none"/>
        </w:rPr>
        <w:t>成 果 类 别：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u w:val="single"/>
          <w:lang w:val="en-US" w:eastAsia="zh-CN"/>
        </w:rPr>
        <w:t xml:space="preserve">数据算法模型成果、数据可视化展现成果、          </w:t>
      </w:r>
    </w:p>
    <w:p w14:paraId="59C9D090">
      <w:pPr>
        <w:adjustRightInd w:val="0"/>
        <w:snapToGrid w:val="0"/>
        <w:spacing w:line="540" w:lineRule="exact"/>
        <w:ind w:firstLine="2800" w:firstLineChars="1000"/>
        <w:rPr>
          <w:rFonts w:hint="default" w:ascii="仿宋_GB2312" w:hAnsi="仿宋_GB2312" w:eastAsia="仿宋_GB2312" w:cs="仿宋_GB2312"/>
          <w:b w:val="0"/>
          <w:bCs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u w:val="single"/>
          <w:lang w:val="en-US" w:eastAsia="zh-CN"/>
        </w:rPr>
        <w:t xml:space="preserve">小微应用封装成果 </w:t>
      </w:r>
      <w:r>
        <w:rPr>
          <w:rFonts w:hint="eastAsia" w:ascii="仿宋_GB2312" w:hAnsi="仿宋_GB2312" w:cs="仿宋_GB2312"/>
          <w:b w:val="0"/>
          <w:bCs w:val="0"/>
          <w:color w:val="000000"/>
          <w:sz w:val="28"/>
          <w:szCs w:val="28"/>
          <w:u w:val="single"/>
          <w:lang w:val="en-US" w:eastAsia="zh-CN"/>
        </w:rPr>
        <w:t xml:space="preserve">                      </w:t>
      </w:r>
    </w:p>
    <w:p w14:paraId="2E530DD0">
      <w:pPr>
        <w:adjustRightInd w:val="0"/>
        <w:snapToGrid w:val="0"/>
        <w:spacing w:line="540" w:lineRule="exact"/>
        <w:ind w:firstLine="900" w:firstLineChars="300"/>
        <w:rPr>
          <w:rFonts w:hint="eastAsia" w:ascii="方正仿宋" w:hAnsi="黑体" w:eastAsia="方正仿宋" w:cs="Times New Roman"/>
          <w:sz w:val="30"/>
          <w:szCs w:val="30"/>
          <w14:ligatures w14:val="none"/>
        </w:rPr>
      </w:pPr>
      <w:r>
        <w:rPr>
          <w:rFonts w:hint="eastAsia" w:ascii="方正仿宋" w:hAnsi="黑体" w:eastAsia="方正仿宋" w:cs="Times New Roman"/>
          <w:sz w:val="30"/>
          <w:szCs w:val="30"/>
          <w14:ligatures w14:val="none"/>
        </w:rPr>
        <w:t>参 赛业务域：</w:t>
      </w:r>
      <w:r>
        <w:rPr>
          <w:rFonts w:hint="eastAsia" w:ascii="方正仿宋" w:hAnsi="黑体" w:eastAsia="方正仿宋" w:cs="Times New Roman"/>
          <w:sz w:val="30"/>
          <w:szCs w:val="30"/>
          <w:u w:val="single"/>
          <w14:ligatures w14:val="none"/>
        </w:rPr>
        <w:t xml:space="preserve">                 烟叶            </w:t>
      </w:r>
      <w:r>
        <w:rPr>
          <w:rFonts w:hint="eastAsia" w:ascii="方正仿宋" w:hAnsi="黑体" w:eastAsia="方正仿宋" w:cs="Times New Roman"/>
          <w:sz w:val="30"/>
          <w:szCs w:val="30"/>
          <w:u w:val="single"/>
          <w:lang w:val="en-US" w:eastAsia="zh-CN"/>
          <w14:ligatures w14:val="none"/>
        </w:rPr>
        <w:t xml:space="preserve"> </w:t>
      </w:r>
      <w:r>
        <w:rPr>
          <w:rFonts w:hint="eastAsia" w:ascii="方正仿宋" w:hAnsi="黑体" w:eastAsia="方正仿宋" w:cs="Times New Roman"/>
          <w:sz w:val="30"/>
          <w:szCs w:val="30"/>
          <w:u w:val="single"/>
          <w14:ligatures w14:val="none"/>
        </w:rPr>
        <w:t xml:space="preserve">  </w:t>
      </w:r>
    </w:p>
    <w:p w14:paraId="4345B4D0">
      <w:pPr>
        <w:adjustRightInd w:val="0"/>
        <w:snapToGrid w:val="0"/>
        <w:spacing w:line="540" w:lineRule="exact"/>
        <w:ind w:firstLine="900" w:firstLineChars="300"/>
        <w:rPr>
          <w:rFonts w:hint="default" w:ascii="方正仿宋" w:hAnsi="黑体" w:eastAsia="仿宋_GB2312" w:cs="Times New Roman"/>
          <w:sz w:val="30"/>
          <w:szCs w:val="30"/>
          <w:lang w:val="en-US" w:eastAsia="zh-CN"/>
          <w14:ligatures w14:val="none"/>
        </w:rPr>
      </w:pPr>
      <w:r>
        <w:rPr>
          <w:rFonts w:hint="eastAsia" w:ascii="方正仿宋" w:hAnsi="黑体" w:eastAsia="方正仿宋" w:cs="Times New Roman"/>
          <w:sz w:val="30"/>
          <w:szCs w:val="30"/>
          <w14:ligatures w14:val="none"/>
        </w:rPr>
        <w:t>参 赛 单 位：</w:t>
      </w:r>
      <w:r>
        <w:rPr>
          <w:rFonts w:hint="eastAsia" w:ascii="方正仿宋" w:hAnsi="黑体" w:eastAsia="方正仿宋" w:cs="Times New Roman"/>
          <w:sz w:val="30"/>
          <w:szCs w:val="30"/>
          <w:u w:val="single"/>
          <w14:ligatures w14:val="none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u w:val="single"/>
          <w:lang w:val="en-US" w:eastAsia="zh-CN"/>
        </w:rPr>
        <w:t>湖北省烟草公司宜昌市公司（盖章）</w:t>
      </w:r>
      <w:r>
        <w:rPr>
          <w:rFonts w:hint="eastAsia" w:ascii="仿宋_GB2312" w:hAnsi="仿宋_GB2312" w:cs="仿宋_GB2312"/>
          <w:sz w:val="30"/>
          <w:szCs w:val="30"/>
          <w:u w:val="single"/>
          <w:lang w:val="en-US" w:eastAsia="zh-CN"/>
          <w14:ligatures w14:val="none"/>
        </w:rPr>
        <w:t xml:space="preserve">     </w:t>
      </w:r>
    </w:p>
    <w:p w14:paraId="643657A4">
      <w:pPr>
        <w:adjustRightInd w:val="0"/>
        <w:snapToGrid w:val="0"/>
        <w:spacing w:line="540" w:lineRule="exact"/>
        <w:ind w:firstLine="900" w:firstLineChars="300"/>
        <w:rPr>
          <w:rFonts w:hint="eastAsia" w:ascii="仿宋_GB2312" w:hAnsi="仿宋_GB2312" w:cs="仿宋_GB2312"/>
          <w:sz w:val="30"/>
          <w:szCs w:val="30"/>
          <w:u w:val="single"/>
          <w14:ligatures w14:val="none"/>
        </w:rPr>
      </w:pPr>
      <w:r>
        <w:rPr>
          <w:rFonts w:hint="eastAsia" w:ascii="方正仿宋" w:hAnsi="黑体" w:eastAsia="方正仿宋" w:cs="Times New Roman"/>
          <w:sz w:val="30"/>
          <w:szCs w:val="30"/>
          <w14:ligatures w14:val="none"/>
        </w:rPr>
        <w:t>日       期：</w:t>
      </w:r>
      <w:r>
        <w:rPr>
          <w:rFonts w:hint="eastAsia" w:ascii="仿宋_GB2312" w:hAnsi="仿宋_GB2312" w:cs="仿宋_GB2312"/>
          <w:sz w:val="30"/>
          <w:szCs w:val="30"/>
          <w:u w:val="single"/>
          <w14:ligatures w14:val="none"/>
        </w:rPr>
        <w:t xml:space="preserve">             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u w:val="single"/>
          <w:lang w:val="en-US" w:eastAsia="zh-CN"/>
        </w:rPr>
        <w:t xml:space="preserve"> 2026.9.10       </w:t>
      </w:r>
      <w:r>
        <w:rPr>
          <w:rFonts w:hint="eastAsia" w:ascii="仿宋_GB2312" w:hAnsi="仿宋_GB2312" w:cs="仿宋_GB2312"/>
          <w:sz w:val="30"/>
          <w:szCs w:val="30"/>
          <w:u w:val="single"/>
          <w:lang w:val="en-US" w:eastAsia="zh-CN"/>
          <w14:ligatures w14:val="none"/>
        </w:rPr>
        <w:t xml:space="preserve">      </w:t>
      </w:r>
      <w:r>
        <w:rPr>
          <w:rFonts w:hint="eastAsia" w:ascii="仿宋_GB2312" w:hAnsi="仿宋_GB2312" w:cs="仿宋_GB2312"/>
          <w:sz w:val="30"/>
          <w:szCs w:val="30"/>
          <w:u w:val="single"/>
          <w14:ligatures w14:val="none"/>
        </w:rPr>
        <w:t xml:space="preserve"> </w:t>
      </w:r>
    </w:p>
    <w:p w14:paraId="13CD24BE">
      <w:pPr>
        <w:adjustRightInd w:val="0"/>
        <w:snapToGrid w:val="0"/>
        <w:spacing w:line="540" w:lineRule="exact"/>
        <w:ind w:firstLine="0" w:firstLineChars="0"/>
        <w:jc w:val="center"/>
        <w:rPr>
          <w:rFonts w:ascii="方正小标宋简体" w:hAnsi="Calibri" w:eastAsia="方正小标宋简体" w:cs="Times New Roman"/>
          <w:bCs/>
          <w:sz w:val="36"/>
          <w:szCs w:val="36"/>
          <w14:ligatures w14:val="none"/>
        </w:rPr>
      </w:pPr>
    </w:p>
    <w:p w14:paraId="73D4828E">
      <w:pPr>
        <w:adjustRightInd w:val="0"/>
        <w:snapToGrid w:val="0"/>
        <w:spacing w:line="540" w:lineRule="exact"/>
        <w:ind w:firstLine="0" w:firstLineChars="0"/>
        <w:jc w:val="center"/>
        <w:rPr>
          <w:rFonts w:ascii="方正小标宋简体" w:hAnsi="Calibri" w:eastAsia="方正小标宋简体" w:cs="Times New Roman"/>
          <w:bCs/>
          <w:sz w:val="36"/>
          <w:szCs w:val="36"/>
          <w14:ligatures w14:val="none"/>
        </w:rPr>
      </w:pPr>
    </w:p>
    <w:p w14:paraId="5D793CAF">
      <w:pPr>
        <w:adjustRightInd w:val="0"/>
        <w:snapToGrid w:val="0"/>
        <w:spacing w:line="540" w:lineRule="exact"/>
        <w:ind w:firstLine="0" w:firstLineChars="0"/>
        <w:jc w:val="center"/>
        <w:rPr>
          <w:rFonts w:ascii="方正小标宋简体" w:hAnsi="Calibri" w:eastAsia="方正小标宋简体" w:cs="Times New Roman"/>
          <w:bCs/>
          <w:sz w:val="36"/>
          <w:szCs w:val="36"/>
          <w14:ligatures w14:val="none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F19DE71">
      <w:pPr>
        <w:adjustRightInd w:val="0"/>
        <w:snapToGrid w:val="0"/>
        <w:spacing w:line="540" w:lineRule="exact"/>
        <w:ind w:firstLine="0" w:firstLineChars="0"/>
        <w:jc w:val="center"/>
        <w:rPr>
          <w:rFonts w:hint="eastAsia" w:ascii="黑体" w:hAnsi="黑体" w:eastAsia="黑体" w:cs="黑体"/>
          <w:bCs/>
          <w:sz w:val="36"/>
          <w:szCs w:val="36"/>
          <w14:ligatures w14:val="none"/>
        </w:rPr>
      </w:pPr>
      <w:r>
        <w:rPr>
          <w:rFonts w:hint="eastAsia" w:ascii="黑体" w:hAnsi="黑体" w:eastAsia="黑体" w:cs="黑体"/>
          <w:bCs/>
          <w:sz w:val="36"/>
          <w:szCs w:val="36"/>
          <w14:ligatures w14:val="none"/>
        </w:rPr>
        <w:t>填 报 说 明</w:t>
      </w:r>
    </w:p>
    <w:p w14:paraId="6E7758DC">
      <w:pPr>
        <w:spacing w:line="540" w:lineRule="exact"/>
        <w:ind w:firstLine="0" w:firstLineChars="0"/>
        <w:jc w:val="center"/>
        <w:rPr>
          <w:rFonts w:ascii="Calibri" w:hAnsi="Calibri" w:cs="Times New Roman"/>
          <w:sz w:val="21"/>
          <w:szCs w:val="21"/>
          <w14:ligatures w14:val="none"/>
        </w:rPr>
      </w:pPr>
    </w:p>
    <w:p w14:paraId="7398D885">
      <w:pPr>
        <w:spacing w:line="540" w:lineRule="exact"/>
        <w:ind w:firstLine="640"/>
        <w:rPr>
          <w:rFonts w:hint="eastAsia" w:ascii="仿宋_GB2312" w:hAnsi="仿宋_GB2312" w:cs="仿宋_GB2312"/>
          <w:szCs w:val="32"/>
          <w14:ligatures w14:val="none"/>
        </w:rPr>
      </w:pPr>
      <w:r>
        <w:rPr>
          <w:rFonts w:hint="eastAsia" w:ascii="仿宋_GB2312" w:hAnsi="仿宋_GB2312" w:cs="仿宋_GB2312"/>
          <w:szCs w:val="32"/>
          <w14:ligatures w14:val="none"/>
        </w:rPr>
        <w:t>一、参加湖北烟草商业系统2026年度数字化转型创客大赛的单位，提交数字化创新成果时，应同步提交本报告。</w:t>
      </w:r>
    </w:p>
    <w:p w14:paraId="49B75609">
      <w:pPr>
        <w:spacing w:line="540" w:lineRule="exact"/>
        <w:ind w:firstLine="640"/>
        <w:rPr>
          <w:rFonts w:hint="eastAsia" w:ascii="仿宋_GB2312" w:hAnsi="仿宋_GB2312" w:cs="仿宋_GB2312"/>
          <w:szCs w:val="32"/>
          <w14:ligatures w14:val="none"/>
        </w:rPr>
      </w:pPr>
      <w:r>
        <w:rPr>
          <w:rFonts w:hint="eastAsia" w:ascii="仿宋_GB2312" w:hAnsi="仿宋_GB2312" w:cs="仿宋_GB2312"/>
          <w:szCs w:val="32"/>
          <w14:ligatures w14:val="none"/>
        </w:rPr>
        <w:t>二、数创成果名称应与申报的参赛题目名称一致。</w:t>
      </w:r>
    </w:p>
    <w:p w14:paraId="196C6A84">
      <w:pPr>
        <w:spacing w:line="540" w:lineRule="exact"/>
        <w:ind w:firstLine="640"/>
        <w:rPr>
          <w:rFonts w:hint="eastAsia" w:ascii="仿宋_GB2312" w:hAnsi="仿宋_GB2312" w:cs="仿宋_GB2312"/>
          <w:szCs w:val="32"/>
          <w14:ligatures w14:val="none"/>
        </w:rPr>
      </w:pPr>
      <w:r>
        <w:rPr>
          <w:rFonts w:hint="eastAsia" w:ascii="仿宋_GB2312" w:hAnsi="仿宋_GB2312" w:cs="仿宋_GB2312"/>
          <w:szCs w:val="32"/>
          <w14:ligatures w14:val="none"/>
        </w:rPr>
        <w:t>三、数创成果类别：数据可视化展现成果、数据算法模型成果、小微应用封装成果等。</w:t>
      </w:r>
    </w:p>
    <w:p w14:paraId="6F3F1C39">
      <w:pPr>
        <w:spacing w:line="540" w:lineRule="exact"/>
        <w:ind w:firstLine="640"/>
        <w:rPr>
          <w:rFonts w:hint="eastAsia" w:ascii="仿宋_GB2312" w:hAnsi="仿宋_GB2312" w:cs="仿宋_GB2312"/>
          <w:szCs w:val="32"/>
          <w14:ligatures w14:val="none"/>
        </w:rPr>
      </w:pPr>
      <w:r>
        <w:rPr>
          <w:rFonts w:hint="eastAsia" w:ascii="仿宋_GB2312" w:hAnsi="仿宋_GB2312" w:cs="仿宋_GB2312"/>
          <w:szCs w:val="32"/>
          <w14:ligatures w14:val="none"/>
        </w:rPr>
        <w:t>四、各单位根据数创成果研发实际，可适当对正文目录内容进行增减及合并。</w:t>
      </w:r>
    </w:p>
    <w:p w14:paraId="632AA17A">
      <w:pPr>
        <w:spacing w:line="540" w:lineRule="exact"/>
        <w:ind w:firstLine="640"/>
        <w:rPr>
          <w:rFonts w:hint="eastAsia" w:ascii="仿宋_GB2312" w:hAnsi="仿宋_GB2312" w:cs="仿宋_GB2312"/>
          <w:szCs w:val="32"/>
          <w14:ligatures w14:val="none"/>
        </w:rPr>
      </w:pPr>
      <w:r>
        <w:rPr>
          <w:rFonts w:hint="eastAsia" w:ascii="仿宋_GB2312" w:hAnsi="仿宋_GB2312" w:cs="仿宋_GB2312"/>
          <w:szCs w:val="32"/>
          <w14:ligatures w14:val="none"/>
        </w:rPr>
        <w:t>五、成果说明注意事项：各单位根据所选题目方向，从“技术实现”和“管理优化”两个方面选择说明。</w:t>
      </w:r>
    </w:p>
    <w:p w14:paraId="7581BF60">
      <w:pPr>
        <w:spacing w:line="540" w:lineRule="exact"/>
        <w:ind w:firstLine="640"/>
        <w:rPr>
          <w:rFonts w:hint="eastAsia" w:ascii="仿宋_GB2312" w:hAnsi="仿宋_GB2312" w:cs="仿宋_GB2312"/>
          <w:szCs w:val="32"/>
          <w14:ligatures w14:val="none"/>
        </w:rPr>
      </w:pPr>
      <w:r>
        <w:rPr>
          <w:rFonts w:hint="eastAsia" w:ascii="仿宋_GB2312" w:hAnsi="仿宋_GB2312" w:cs="仿宋_GB2312"/>
          <w:szCs w:val="32"/>
          <w14:ligatures w14:val="none"/>
        </w:rPr>
        <w:t>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 w14:paraId="0D97C1F6">
      <w:pPr>
        <w:spacing w:line="540" w:lineRule="exact"/>
        <w:ind w:firstLine="640"/>
        <w:rPr>
          <w:rFonts w:hint="eastAsia" w:ascii="仿宋_GB2312" w:hAnsi="仿宋_GB2312" w:cs="仿宋_GB2312"/>
          <w:szCs w:val="32"/>
          <w14:ligatures w14:val="none"/>
        </w:rPr>
      </w:pPr>
      <w:r>
        <w:rPr>
          <w:rFonts w:hint="eastAsia" w:ascii="仿宋_GB2312" w:hAnsi="仿宋_GB2312" w:cs="仿宋_GB2312"/>
          <w:szCs w:val="32"/>
          <w14:ligatures w14:val="none"/>
        </w:rPr>
        <w:t>2.“管理优化”主要介绍在数创成果中，以数据要素驱动组织架构、业务流程、制度标准等整合优化的架构设计、理论依据、技术支撑、逻辑运行等内容。</w:t>
      </w:r>
    </w:p>
    <w:p w14:paraId="11F8A60E">
      <w:pPr>
        <w:spacing w:line="540" w:lineRule="exact"/>
        <w:ind w:firstLine="640"/>
        <w:rPr>
          <w:rFonts w:hint="eastAsia" w:ascii="仿宋_GB2312" w:hAnsi="仿宋_GB2312" w:cs="仿宋_GB2312"/>
          <w:szCs w:val="32"/>
          <w14:ligatures w14:val="none"/>
        </w:rPr>
      </w:pPr>
      <w:r>
        <w:rPr>
          <w:rFonts w:hint="eastAsia" w:ascii="仿宋_GB2312" w:hAnsi="仿宋_GB2312" w:cs="仿宋_GB2312"/>
          <w:szCs w:val="32"/>
          <w14:ligatures w14:val="none"/>
        </w:rPr>
        <w:t>六、数创成果报告应双面打印；报送加盖公章的电子版扫描件和对应word格式原件。</w:t>
      </w:r>
    </w:p>
    <w:p w14:paraId="0B071698">
      <w:pPr>
        <w:spacing w:line="540" w:lineRule="exact"/>
        <w:ind w:firstLine="640"/>
        <w:rPr>
          <w:rFonts w:hint="eastAsia" w:ascii="仿宋_GB2312" w:hAnsi="仿宋_GB2312" w:cs="仿宋_GB2312"/>
          <w:szCs w:val="32"/>
          <w14:ligatures w14:val="none"/>
        </w:rPr>
      </w:pPr>
      <w:r>
        <w:rPr>
          <w:rFonts w:hint="eastAsia" w:ascii="仿宋_GB2312" w:hAnsi="仿宋_GB2312" w:cs="仿宋_GB2312"/>
          <w:szCs w:val="32"/>
          <w14:ligatures w14:val="none"/>
        </w:rPr>
        <w:t>七、数创成果说明应简明扼要，重点聚焦数据应用实际成效、成果落地推广价值、经营管理提质增效作用等，正文全文控制在4000字以内。</w:t>
      </w:r>
    </w:p>
    <w:p w14:paraId="5C411183">
      <w:pPr>
        <w:spacing w:line="540" w:lineRule="exact"/>
        <w:ind w:firstLine="0" w:firstLineChars="0"/>
        <w:rPr>
          <w:rFonts w:eastAsia="方正仿宋" w:cs="Times New Roman"/>
          <w:szCs w:val="32"/>
          <w14:ligatures w14:val="none"/>
        </w:rPr>
      </w:pPr>
    </w:p>
    <w:p w14:paraId="4C298962">
      <w:pPr>
        <w:spacing w:line="540" w:lineRule="exact"/>
        <w:ind w:firstLine="0" w:firstLineChars="0"/>
        <w:rPr>
          <w:rFonts w:eastAsia="方正仿宋" w:cs="Times New Roman"/>
          <w:szCs w:val="32"/>
          <w14:ligatures w14:val="none"/>
        </w:rPr>
      </w:pPr>
    </w:p>
    <w:p w14:paraId="0FF4A5AB">
      <w:pPr>
        <w:spacing w:line="540" w:lineRule="exact"/>
        <w:ind w:firstLine="0" w:firstLineChars="0"/>
        <w:rPr>
          <w:rFonts w:eastAsia="方正仿宋" w:cs="Times New Roman"/>
          <w:szCs w:val="32"/>
          <w14:ligatures w14:val="none"/>
        </w:rPr>
      </w:pPr>
    </w:p>
    <w:tbl>
      <w:tblPr>
        <w:tblStyle w:val="17"/>
        <w:tblW w:w="88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689"/>
        <w:gridCol w:w="1376"/>
        <w:gridCol w:w="1112"/>
        <w:gridCol w:w="1288"/>
        <w:gridCol w:w="2330"/>
        <w:gridCol w:w="1011"/>
      </w:tblGrid>
      <w:tr w14:paraId="6B25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tblHeader/>
          <w:jc w:val="center"/>
        </w:trPr>
        <w:tc>
          <w:tcPr>
            <w:tcW w:w="8813" w:type="dxa"/>
            <w:gridSpan w:val="7"/>
            <w:vAlign w:val="center"/>
          </w:tcPr>
          <w:p w14:paraId="378457B4">
            <w:pPr>
              <w:spacing w:line="540" w:lineRule="exact"/>
              <w:ind w:firstLine="0" w:firstLineChars="0"/>
              <w:jc w:val="center"/>
              <w:rPr>
                <w:rFonts w:hint="eastAsia" w:ascii="黑体" w:hAnsi="黑体" w:eastAsia="黑体" w:cs="Times New Roman"/>
                <w:sz w:val="24"/>
                <w14:ligatures w14:val="none"/>
              </w:rPr>
            </w:pPr>
            <w:r>
              <w:rPr>
                <w:rFonts w:hint="eastAsia" w:ascii="黑体" w:hAnsi="黑体" w:eastAsia="黑体" w:cs="Times New Roman"/>
                <w:sz w:val="28"/>
                <w:szCs w:val="28"/>
                <w14:ligatures w14:val="none"/>
              </w:rPr>
              <w:t>数创成果报告简要概况</w:t>
            </w:r>
          </w:p>
        </w:tc>
      </w:tr>
      <w:tr w14:paraId="4078F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8813" w:type="dxa"/>
            <w:gridSpan w:val="7"/>
            <w:vAlign w:val="center"/>
          </w:tcPr>
          <w:p w14:paraId="169DD820">
            <w:pPr>
              <w:spacing w:line="540" w:lineRule="exact"/>
              <w:ind w:firstLine="0" w:firstLineChars="0"/>
              <w:jc w:val="left"/>
              <w:rPr>
                <w:rFonts w:hint="eastAsia" w:ascii="黑体" w:hAnsi="黑体" w:eastAsia="黑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黑体" w:hAnsi="黑体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团队概况</w:t>
            </w:r>
          </w:p>
        </w:tc>
      </w:tr>
      <w:tr w14:paraId="0A836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007" w:type="dxa"/>
            <w:vAlign w:val="center"/>
          </w:tcPr>
          <w:p w14:paraId="7CC065B3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  <w:t>姓名</w:t>
            </w:r>
          </w:p>
        </w:tc>
        <w:tc>
          <w:tcPr>
            <w:tcW w:w="689" w:type="dxa"/>
            <w:vAlign w:val="center"/>
          </w:tcPr>
          <w:p w14:paraId="7C0A77CA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  <w:t>性别</w:t>
            </w:r>
          </w:p>
        </w:tc>
        <w:tc>
          <w:tcPr>
            <w:tcW w:w="1376" w:type="dxa"/>
            <w:vAlign w:val="center"/>
          </w:tcPr>
          <w:p w14:paraId="38A272A6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  <w:t>学历</w:t>
            </w:r>
          </w:p>
        </w:tc>
        <w:tc>
          <w:tcPr>
            <w:tcW w:w="1112" w:type="dxa"/>
            <w:vAlign w:val="center"/>
          </w:tcPr>
          <w:p w14:paraId="4B15244B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  <w:t>专业</w:t>
            </w:r>
          </w:p>
        </w:tc>
        <w:tc>
          <w:tcPr>
            <w:tcW w:w="1288" w:type="dxa"/>
            <w:vAlign w:val="center"/>
          </w:tcPr>
          <w:p w14:paraId="051E30DC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cs="Times New Roman"/>
                <w:sz w:val="21"/>
                <w:szCs w:val="21"/>
                <w14:ligatures w14:val="none"/>
              </w:rPr>
              <w:t>技术职称/技能等级</w:t>
            </w:r>
          </w:p>
        </w:tc>
        <w:tc>
          <w:tcPr>
            <w:tcW w:w="2330" w:type="dxa"/>
            <w:vAlign w:val="center"/>
          </w:tcPr>
          <w:p w14:paraId="724512B4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cs="Times New Roman"/>
                <w:sz w:val="21"/>
                <w:szCs w:val="21"/>
                <w14:ligatures w14:val="none"/>
              </w:rPr>
              <w:t>团队分工</w:t>
            </w:r>
          </w:p>
        </w:tc>
        <w:tc>
          <w:tcPr>
            <w:tcW w:w="1011" w:type="dxa"/>
            <w:vAlign w:val="center"/>
          </w:tcPr>
          <w:p w14:paraId="5EEB78BA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cs="Times New Roman"/>
                <w:sz w:val="21"/>
                <w:szCs w:val="21"/>
                <w14:ligatures w14:val="none"/>
              </w:rPr>
              <w:t>团队职务</w:t>
            </w:r>
          </w:p>
        </w:tc>
      </w:tr>
      <w:tr w14:paraId="38691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007" w:type="dxa"/>
            <w:vAlign w:val="center"/>
          </w:tcPr>
          <w:p w14:paraId="6D71DCCF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14:ligatures w14:val="none"/>
              </w:rPr>
              <w:t>董贤春</w:t>
            </w:r>
          </w:p>
        </w:tc>
        <w:tc>
          <w:tcPr>
            <w:tcW w:w="689" w:type="dxa"/>
            <w:vAlign w:val="center"/>
          </w:tcPr>
          <w:p w14:paraId="4430F3F3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男</w:t>
            </w:r>
          </w:p>
        </w:tc>
        <w:tc>
          <w:tcPr>
            <w:tcW w:w="1376" w:type="dxa"/>
            <w:vAlign w:val="center"/>
          </w:tcPr>
          <w:p w14:paraId="250B89C5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硕士</w:t>
            </w:r>
          </w:p>
        </w:tc>
        <w:tc>
          <w:tcPr>
            <w:tcW w:w="1112" w:type="dxa"/>
            <w:vAlign w:val="center"/>
          </w:tcPr>
          <w:p w14:paraId="46B111E6">
            <w:pPr>
              <w:spacing w:line="540" w:lineRule="exact"/>
              <w:ind w:firstLine="0" w:firstLineChars="0"/>
              <w:jc w:val="center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农业推广</w:t>
            </w:r>
          </w:p>
        </w:tc>
        <w:tc>
          <w:tcPr>
            <w:tcW w:w="1288" w:type="dxa"/>
            <w:vAlign w:val="center"/>
          </w:tcPr>
          <w:p w14:paraId="12087B66">
            <w:pPr>
              <w:spacing w:line="540" w:lineRule="exact"/>
              <w:ind w:firstLine="0" w:firstLineChars="0"/>
              <w:jc w:val="center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高级农艺师</w:t>
            </w:r>
          </w:p>
        </w:tc>
        <w:tc>
          <w:tcPr>
            <w:tcW w:w="2330" w:type="dxa"/>
            <w:vAlign w:val="center"/>
          </w:tcPr>
          <w:p w14:paraId="6A72BF89">
            <w:pPr>
              <w:spacing w:line="540" w:lineRule="exact"/>
              <w:ind w:firstLine="0" w:firstLineChars="0"/>
              <w:jc w:val="left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方案设计、指导实施、过程监督</w:t>
            </w:r>
          </w:p>
        </w:tc>
        <w:tc>
          <w:tcPr>
            <w:tcW w:w="1011" w:type="dxa"/>
            <w:vAlign w:val="center"/>
          </w:tcPr>
          <w:p w14:paraId="4F2ACF8C">
            <w:pPr>
              <w:spacing w:line="540" w:lineRule="exact"/>
              <w:ind w:firstLine="0" w:firstLineChars="0"/>
              <w:jc w:val="center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组长</w:t>
            </w:r>
          </w:p>
        </w:tc>
      </w:tr>
      <w:tr w14:paraId="51CB9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007" w:type="dxa"/>
            <w:vAlign w:val="center"/>
          </w:tcPr>
          <w:p w14:paraId="321C7B65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14:ligatures w14:val="none"/>
              </w:rPr>
              <w:t>胡浩博</w:t>
            </w:r>
          </w:p>
        </w:tc>
        <w:tc>
          <w:tcPr>
            <w:tcW w:w="689" w:type="dxa"/>
            <w:vAlign w:val="center"/>
          </w:tcPr>
          <w:p w14:paraId="09B6B041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男</w:t>
            </w:r>
          </w:p>
        </w:tc>
        <w:tc>
          <w:tcPr>
            <w:tcW w:w="1376" w:type="dxa"/>
            <w:vAlign w:val="center"/>
          </w:tcPr>
          <w:p w14:paraId="409469EE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硕士研究生</w:t>
            </w:r>
          </w:p>
        </w:tc>
        <w:tc>
          <w:tcPr>
            <w:tcW w:w="1112" w:type="dxa"/>
            <w:vAlign w:val="center"/>
          </w:tcPr>
          <w:p w14:paraId="18B0B1C5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软件工程</w:t>
            </w:r>
          </w:p>
        </w:tc>
        <w:tc>
          <w:tcPr>
            <w:tcW w:w="1288" w:type="dxa"/>
            <w:vAlign w:val="center"/>
          </w:tcPr>
          <w:p w14:paraId="4DA09208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助理工程师</w:t>
            </w:r>
          </w:p>
        </w:tc>
        <w:tc>
          <w:tcPr>
            <w:tcW w:w="2330" w:type="dxa"/>
            <w:vAlign w:val="center"/>
          </w:tcPr>
          <w:p w14:paraId="240F10FA">
            <w:pPr>
              <w:spacing w:line="540" w:lineRule="exact"/>
              <w:ind w:firstLine="0" w:firstLineChars="0"/>
              <w:jc w:val="left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14:ligatures w14:val="none"/>
              </w:rPr>
              <w:t>技术开发、文档攥写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  <w14:ligatures w14:val="none"/>
              </w:rPr>
              <w:t>，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ppt和视频制作</w:t>
            </w:r>
          </w:p>
        </w:tc>
        <w:tc>
          <w:tcPr>
            <w:tcW w:w="1011" w:type="dxa"/>
            <w:vAlign w:val="center"/>
          </w:tcPr>
          <w:p w14:paraId="710B1904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14:ligatures w14:val="none"/>
              </w:rPr>
              <w:t>组员</w:t>
            </w:r>
          </w:p>
        </w:tc>
      </w:tr>
      <w:tr w14:paraId="77D22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007" w:type="dxa"/>
            <w:vAlign w:val="center"/>
          </w:tcPr>
          <w:p w14:paraId="09B6C5B9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14:ligatures w14:val="none"/>
              </w:rPr>
              <w:t>余文杰</w:t>
            </w:r>
          </w:p>
        </w:tc>
        <w:tc>
          <w:tcPr>
            <w:tcW w:w="689" w:type="dxa"/>
            <w:vAlign w:val="center"/>
          </w:tcPr>
          <w:p w14:paraId="43CBF238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女</w:t>
            </w:r>
          </w:p>
        </w:tc>
        <w:tc>
          <w:tcPr>
            <w:tcW w:w="1376" w:type="dxa"/>
            <w:vAlign w:val="center"/>
          </w:tcPr>
          <w:p w14:paraId="02182809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硕士研究生</w:t>
            </w:r>
          </w:p>
        </w:tc>
        <w:tc>
          <w:tcPr>
            <w:tcW w:w="1112" w:type="dxa"/>
            <w:vAlign w:val="center"/>
          </w:tcPr>
          <w:p w14:paraId="73C4A500">
            <w:pPr>
              <w:spacing w:line="540" w:lineRule="exact"/>
              <w:ind w:firstLine="0" w:firstLineChars="0"/>
              <w:jc w:val="center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计算机技术</w:t>
            </w:r>
          </w:p>
        </w:tc>
        <w:tc>
          <w:tcPr>
            <w:tcW w:w="1288" w:type="dxa"/>
            <w:vAlign w:val="center"/>
          </w:tcPr>
          <w:p w14:paraId="59FAF8FF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暂无</w:t>
            </w:r>
          </w:p>
        </w:tc>
        <w:tc>
          <w:tcPr>
            <w:tcW w:w="2330" w:type="dxa"/>
            <w:vAlign w:val="center"/>
          </w:tcPr>
          <w:p w14:paraId="0C2F331E">
            <w:pPr>
              <w:spacing w:line="540" w:lineRule="exact"/>
              <w:ind w:firstLine="0" w:firstLineChars="0"/>
              <w:jc w:val="left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技术开发，ppt制作和视频制作，项目讲解</w:t>
            </w:r>
          </w:p>
        </w:tc>
        <w:tc>
          <w:tcPr>
            <w:tcW w:w="1011" w:type="dxa"/>
            <w:vAlign w:val="center"/>
          </w:tcPr>
          <w:p w14:paraId="09C8CFA2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组员</w:t>
            </w:r>
          </w:p>
        </w:tc>
      </w:tr>
      <w:tr w14:paraId="23099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1007" w:type="dxa"/>
            <w:vAlign w:val="center"/>
          </w:tcPr>
          <w:p w14:paraId="539AD2C6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14:ligatures w14:val="none"/>
              </w:rPr>
              <w:t>徐原</w:t>
            </w:r>
          </w:p>
        </w:tc>
        <w:tc>
          <w:tcPr>
            <w:tcW w:w="689" w:type="dxa"/>
            <w:vAlign w:val="center"/>
          </w:tcPr>
          <w:p w14:paraId="7594E6D8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男</w:t>
            </w:r>
          </w:p>
        </w:tc>
        <w:tc>
          <w:tcPr>
            <w:tcW w:w="1376" w:type="dxa"/>
            <w:vAlign w:val="center"/>
          </w:tcPr>
          <w:p w14:paraId="6C68E267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本科</w:t>
            </w:r>
          </w:p>
        </w:tc>
        <w:tc>
          <w:tcPr>
            <w:tcW w:w="1112" w:type="dxa"/>
            <w:vAlign w:val="center"/>
          </w:tcPr>
          <w:p w14:paraId="0EC28607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企业管理</w:t>
            </w:r>
          </w:p>
        </w:tc>
        <w:tc>
          <w:tcPr>
            <w:tcW w:w="1288" w:type="dxa"/>
            <w:vAlign w:val="center"/>
          </w:tcPr>
          <w:p w14:paraId="579C70B7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助理农艺师</w:t>
            </w:r>
          </w:p>
        </w:tc>
        <w:tc>
          <w:tcPr>
            <w:tcW w:w="2330" w:type="dxa"/>
            <w:vAlign w:val="center"/>
          </w:tcPr>
          <w:p w14:paraId="279D02D6">
            <w:pPr>
              <w:spacing w:line="540" w:lineRule="exact"/>
              <w:ind w:firstLine="0" w:firstLineChars="0"/>
              <w:jc w:val="left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方案调研，实施推广</w:t>
            </w:r>
          </w:p>
        </w:tc>
        <w:tc>
          <w:tcPr>
            <w:tcW w:w="1011" w:type="dxa"/>
            <w:vAlign w:val="center"/>
          </w:tcPr>
          <w:p w14:paraId="4D8283DD">
            <w:pPr>
              <w:spacing w:line="540" w:lineRule="exact"/>
              <w:ind w:firstLine="0" w:firstLineChars="0"/>
              <w:jc w:val="center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组员</w:t>
            </w:r>
          </w:p>
        </w:tc>
      </w:tr>
      <w:tr w14:paraId="0B033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1007" w:type="dxa"/>
            <w:vAlign w:val="center"/>
          </w:tcPr>
          <w:p w14:paraId="410C6D10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14:ligatures w14:val="none"/>
              </w:rPr>
              <w:t>卢威</w:t>
            </w:r>
          </w:p>
        </w:tc>
        <w:tc>
          <w:tcPr>
            <w:tcW w:w="689" w:type="dxa"/>
            <w:vAlign w:val="center"/>
          </w:tcPr>
          <w:p w14:paraId="14C0E445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女</w:t>
            </w:r>
          </w:p>
        </w:tc>
        <w:tc>
          <w:tcPr>
            <w:tcW w:w="1376" w:type="dxa"/>
            <w:vAlign w:val="center"/>
          </w:tcPr>
          <w:p w14:paraId="4701DC4B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硕士研究生</w:t>
            </w:r>
          </w:p>
        </w:tc>
        <w:tc>
          <w:tcPr>
            <w:tcW w:w="1112" w:type="dxa"/>
            <w:vAlign w:val="center"/>
          </w:tcPr>
          <w:p w14:paraId="2D6D100D">
            <w:pPr>
              <w:spacing w:line="54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会计</w:t>
            </w:r>
          </w:p>
        </w:tc>
        <w:tc>
          <w:tcPr>
            <w:tcW w:w="1288" w:type="dxa"/>
            <w:vAlign w:val="center"/>
          </w:tcPr>
          <w:p w14:paraId="4C0D7E4A">
            <w:pPr>
              <w:spacing w:line="540" w:lineRule="exact"/>
              <w:ind w:firstLine="0" w:firstLineChars="0"/>
              <w:jc w:val="center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中级会计师</w:t>
            </w:r>
          </w:p>
        </w:tc>
        <w:tc>
          <w:tcPr>
            <w:tcW w:w="2330" w:type="dxa"/>
            <w:vAlign w:val="center"/>
          </w:tcPr>
          <w:p w14:paraId="3CB2C63C">
            <w:pPr>
              <w:spacing w:line="540" w:lineRule="exact"/>
              <w:ind w:firstLine="0" w:firstLineChars="0"/>
              <w:jc w:val="left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参与推广及实施</w:t>
            </w:r>
          </w:p>
        </w:tc>
        <w:tc>
          <w:tcPr>
            <w:tcW w:w="1011" w:type="dxa"/>
            <w:vAlign w:val="center"/>
          </w:tcPr>
          <w:p w14:paraId="316BAE1C">
            <w:pPr>
              <w:spacing w:line="540" w:lineRule="exact"/>
              <w:ind w:firstLine="0" w:firstLineChars="0"/>
              <w:jc w:val="center"/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  <w14:ligatures w14:val="none"/>
              </w:rPr>
              <w:t>组员</w:t>
            </w:r>
          </w:p>
        </w:tc>
      </w:tr>
      <w:tr w14:paraId="7D6E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8813" w:type="dxa"/>
            <w:gridSpan w:val="7"/>
            <w:vAlign w:val="center"/>
          </w:tcPr>
          <w:p w14:paraId="159B2F30">
            <w:pPr>
              <w:spacing w:line="540" w:lineRule="exact"/>
              <w:ind w:firstLine="0" w:firstLineChars="0"/>
              <w:jc w:val="left"/>
              <w:rPr>
                <w:rFonts w:hint="eastAsia" w:ascii="黑体" w:hAnsi="黑体" w:eastAsia="黑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黑体" w:hAnsi="黑体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作品（成果）名称及简介（200字以内）</w:t>
            </w:r>
          </w:p>
        </w:tc>
      </w:tr>
      <w:tr w14:paraId="2DA19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9" w:hRule="atLeast"/>
          <w:jc w:val="center"/>
        </w:trPr>
        <w:tc>
          <w:tcPr>
            <w:tcW w:w="8813" w:type="dxa"/>
            <w:gridSpan w:val="7"/>
            <w:vAlign w:val="center"/>
          </w:tcPr>
          <w:p w14:paraId="1B9C44E9">
            <w:pPr>
              <w:ind w:firstLine="42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      </w:r>
          </w:p>
        </w:tc>
      </w:tr>
      <w:tr w14:paraId="73511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8813" w:type="dxa"/>
            <w:gridSpan w:val="7"/>
            <w:vAlign w:val="center"/>
          </w:tcPr>
          <w:p w14:paraId="2A2BF48A">
            <w:pPr>
              <w:spacing w:line="540" w:lineRule="exact"/>
              <w:ind w:firstLine="0" w:firstLineChars="0"/>
              <w:jc w:val="left"/>
              <w:rPr>
                <w:rFonts w:hint="eastAsia" w:ascii="黑体" w:hAnsi="黑体" w:eastAsia="黑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黑体" w:hAnsi="黑体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设定目标（200字以内）</w:t>
            </w:r>
          </w:p>
        </w:tc>
      </w:tr>
      <w:tr w14:paraId="19D0A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9" w:hRule="atLeast"/>
          <w:jc w:val="center"/>
        </w:trPr>
        <w:tc>
          <w:tcPr>
            <w:tcW w:w="8813" w:type="dxa"/>
            <w:gridSpan w:val="7"/>
            <w:vAlign w:val="center"/>
          </w:tcPr>
          <w:p w14:paraId="36E87721">
            <w:pPr>
              <w:ind w:firstLine="42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项目在宜昌秭归烟区应用：</w:t>
            </w:r>
          </w:p>
          <w:p w14:paraId="56EF8014">
            <w:pPr>
              <w:ind w:firstLine="42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数据库全覆盖：100%覆盖在用烤房（不低于1600栋）；形成健康评价及统计分析看板，供筛选查询。</w:t>
            </w:r>
          </w:p>
          <w:p w14:paraId="64E60687">
            <w:pPr>
              <w:ind w:firstLine="42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流程闭环：“申请—调度—流转—验收—评价”全流程线上闭环，调剂、抢修、养护等全程可追溯，业务办理与数据库迭代同步。</w:t>
            </w:r>
          </w:p>
          <w:p w14:paraId="3D934750">
            <w:pPr>
              <w:ind w:firstLine="42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健全管护体系：优化管家队伍，4支服务队各司其职；制定方案，明确标准；统一管护占比65%以上，管护综合成本降低10%以上。</w:t>
            </w:r>
          </w:p>
          <w:p w14:paraId="090B83EC">
            <w:pPr>
              <w:ind w:firstLine="42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成效：调剂和抢修响应时间控制在0.5小时内；烟农烤房使用满意度95%以上。</w:t>
            </w:r>
          </w:p>
        </w:tc>
      </w:tr>
      <w:tr w14:paraId="392E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8813" w:type="dxa"/>
            <w:gridSpan w:val="7"/>
            <w:vAlign w:val="center"/>
          </w:tcPr>
          <w:p w14:paraId="742B38C9">
            <w:pPr>
              <w:spacing w:line="540" w:lineRule="exact"/>
              <w:ind w:firstLine="0" w:firstLineChars="0"/>
              <w:jc w:val="left"/>
              <w:rPr>
                <w:rFonts w:hint="eastAsia" w:ascii="黑体" w:hAnsi="黑体" w:eastAsia="黑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黑体" w:hAnsi="黑体" w:eastAsia="黑体" w:cs="Times New Roman"/>
                <w:sz w:val="21"/>
                <w:szCs w:val="21"/>
                <w14:ligatures w14:val="none"/>
              </w:rPr>
              <w:t>设计思路（200字以内）</w:t>
            </w:r>
          </w:p>
        </w:tc>
      </w:tr>
      <w:tr w14:paraId="58AD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0" w:hRule="atLeast"/>
          <w:jc w:val="center"/>
        </w:trPr>
        <w:tc>
          <w:tcPr>
            <w:tcW w:w="8813" w:type="dxa"/>
            <w:gridSpan w:val="7"/>
            <w:vAlign w:val="center"/>
          </w:tcPr>
          <w:p w14:paraId="102CDC1F">
            <w:pPr>
              <w:ind w:firstLine="42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围绕烤房“用、投、管”全过程，按“摸清家底、科学评价、协同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应用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创新实践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”思路推进。</w:t>
            </w:r>
          </w:p>
          <w:p w14:paraId="47E288F8">
            <w:pPr>
              <w:ind w:firstLine="420"/>
              <w:jc w:val="both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摸清家底：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收录在用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烤房4部位、1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部件基础信息及维修、养护记录，构建数据库；科学评价：建健康评估与发展导引双模型，实现量化决策；协同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应用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：依托微信小程序与网页后台，打通烟农报修调剂、合作社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派单、行业部门监管审核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业务闭环；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创新实践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组建各司其职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服务队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完善资金、队伍、制度、运维、评价、核算等，探索“自治”管家服务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46861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8813" w:type="dxa"/>
            <w:gridSpan w:val="7"/>
            <w:vAlign w:val="center"/>
          </w:tcPr>
          <w:p w14:paraId="10DE9851">
            <w:pPr>
              <w:spacing w:line="540" w:lineRule="exact"/>
              <w:ind w:firstLine="0" w:firstLineChars="0"/>
              <w:jc w:val="left"/>
              <w:rPr>
                <w:rFonts w:hint="eastAsia" w:ascii="黑体" w:hAnsi="黑体" w:eastAsia="黑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黑体" w:hAnsi="黑体" w:eastAsia="黑体" w:cs="Times New Roman"/>
                <w:sz w:val="24"/>
                <w:szCs w:val="24"/>
                <w14:ligatures w14:val="none"/>
              </w:rPr>
              <w:t>创新成效（200字以内）</w:t>
            </w:r>
          </w:p>
        </w:tc>
      </w:tr>
      <w:tr w14:paraId="00525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1" w:hRule="atLeast"/>
          <w:jc w:val="center"/>
        </w:trPr>
        <w:tc>
          <w:tcPr>
            <w:tcW w:w="8813" w:type="dxa"/>
            <w:gridSpan w:val="7"/>
            <w:vAlign w:val="center"/>
          </w:tcPr>
          <w:p w14:paraId="008A8DC9">
            <w:pPr>
              <w:ind w:firstLine="42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一是构建两个模型。健康评估模型采用AHP计算健康分、威布尔分布拟合剩余寿命，输出健康分及部位风险排序；千亩村发展导引模型综合烤能、需求、潜力等条件，运用AHP+熵权法组合赋权、TOPSIS排序推荐。</w:t>
            </w:r>
          </w:p>
          <w:p w14:paraId="018ABEE2">
            <w:pPr>
              <w:ind w:firstLine="42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二是打造“智用、智投、智管”管家平台。调剂烤房48座，增加阶段性烤能；抢修时长控制3小时，为年度设施维修规划提供辅助；架构管家服务并优化运维。</w:t>
            </w:r>
          </w:p>
          <w:p w14:paraId="220A4DAB">
            <w:pPr>
              <w:ind w:firstLine="420"/>
              <w:jc w:val="both"/>
              <w:rPr>
                <w:rFonts w:hint="eastAsia" w:ascii="宋体" w:hAnsi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三是探索规范运维。两级合作社统筹管护比81%；县合作社烤房管护基金达190多万；制定管护制度与操作规范。</w:t>
            </w:r>
          </w:p>
        </w:tc>
      </w:tr>
      <w:tr w14:paraId="66610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8813" w:type="dxa"/>
            <w:gridSpan w:val="7"/>
            <w:vAlign w:val="center"/>
          </w:tcPr>
          <w:p w14:paraId="70FAF39F">
            <w:pPr>
              <w:spacing w:line="540" w:lineRule="exact"/>
              <w:ind w:firstLine="0" w:firstLineChars="0"/>
              <w:jc w:val="left"/>
              <w:rPr>
                <w:rFonts w:hint="eastAsia" w:ascii="宋体" w:hAnsi="宋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应用前景（200字以内）</w:t>
            </w:r>
          </w:p>
        </w:tc>
      </w:tr>
      <w:tr w14:paraId="412FF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2" w:hRule="atLeast"/>
          <w:jc w:val="center"/>
        </w:trPr>
        <w:tc>
          <w:tcPr>
            <w:tcW w:w="8813" w:type="dxa"/>
            <w:gridSpan w:val="7"/>
            <w:vAlign w:val="center"/>
          </w:tcPr>
          <w:p w14:paraId="5F523FD3">
            <w:pPr>
              <w:ind w:firstLine="42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</w:t>
            </w:r>
          </w:p>
          <w:p w14:paraId="3451CCF0">
            <w:pPr>
              <w:ind w:firstLine="42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      </w:r>
          </w:p>
        </w:tc>
      </w:tr>
      <w:tr w14:paraId="209A4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8813" w:type="dxa"/>
            <w:gridSpan w:val="7"/>
            <w:vAlign w:val="center"/>
          </w:tcPr>
          <w:p w14:paraId="672C1122">
            <w:pPr>
              <w:spacing w:line="540" w:lineRule="exact"/>
              <w:ind w:firstLine="0" w:firstLineChars="0"/>
              <w:jc w:val="left"/>
              <w:rPr>
                <w:rFonts w:hint="eastAsia" w:ascii="宋体" w:hAnsi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黑体" w:hAnsi="黑体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团队承诺</w:t>
            </w:r>
          </w:p>
        </w:tc>
      </w:tr>
      <w:tr w14:paraId="1553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atLeast"/>
          <w:jc w:val="center"/>
        </w:trPr>
        <w:tc>
          <w:tcPr>
            <w:tcW w:w="8813" w:type="dxa"/>
            <w:gridSpan w:val="7"/>
          </w:tcPr>
          <w:p w14:paraId="6879F6BA">
            <w:pPr>
              <w:spacing w:line="540" w:lineRule="exact"/>
              <w:ind w:firstLine="420"/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  <w:t>本团队承诺提交的数创成果为本团队自主研发设计，拥有自主知识产权，具有真实性、原创性、合法性、安全性。如有不实，由本团队成员承担相应的责任。</w:t>
            </w:r>
          </w:p>
          <w:p w14:paraId="308DF7A0">
            <w:pPr>
              <w:spacing w:line="540" w:lineRule="exact"/>
              <w:ind w:left="0" w:leftChars="0" w:firstLine="0" w:firstLineChars="0"/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</w:pPr>
          </w:p>
          <w:p w14:paraId="52EB4CAE">
            <w:pPr>
              <w:spacing w:line="540" w:lineRule="exact"/>
              <w:rPr>
                <w:rFonts w:ascii="宋体" w:hAnsi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14:ligatures w14:val="none"/>
              </w:rPr>
              <w:t>团队成员承诺签字：</w:t>
            </w:r>
            <w:r>
              <w:rPr>
                <w:rFonts w:ascii="宋体" w:hAnsi="宋体" w:cs="Times New Roman"/>
                <w:sz w:val="24"/>
                <w:szCs w:val="24"/>
                <w14:ligatures w14:val="none"/>
              </w:rPr>
              <w:t xml:space="preserve"> </w:t>
            </w:r>
          </w:p>
          <w:p w14:paraId="5D15A8CC">
            <w:pPr>
              <w:spacing w:line="540" w:lineRule="exact"/>
              <w:ind w:left="0" w:leftChars="0" w:firstLine="0" w:firstLineChars="0"/>
              <w:rPr>
                <w:rFonts w:ascii="宋体" w:hAnsi="宋体" w:cs="Times New Roman"/>
                <w:sz w:val="24"/>
                <w:szCs w:val="24"/>
                <w14:ligatures w14:val="none"/>
              </w:rPr>
            </w:pPr>
          </w:p>
          <w:p w14:paraId="45C1D940">
            <w:pPr>
              <w:spacing w:line="540" w:lineRule="exact"/>
              <w:ind w:firstLine="3570" w:firstLineChars="1700"/>
              <w:rPr>
                <w:rFonts w:ascii="宋体" w:hAnsi="宋体" w:cs="Times New Roman"/>
                <w:sz w:val="21"/>
                <w:szCs w:val="21"/>
                <w14:ligatures w14:val="none"/>
              </w:rPr>
            </w:pPr>
          </w:p>
          <w:p w14:paraId="302186B3">
            <w:pPr>
              <w:spacing w:line="540" w:lineRule="exact"/>
              <w:ind w:firstLine="3570" w:firstLineChars="1700"/>
              <w:rPr>
                <w:rFonts w:hint="eastAsia" w:ascii="宋体" w:hAnsi="宋体" w:cs="Times New Roman"/>
                <w:sz w:val="21"/>
                <w:szCs w:val="21"/>
                <w14:ligatures w14:val="none"/>
              </w:rPr>
            </w:pPr>
          </w:p>
        </w:tc>
      </w:tr>
    </w:tbl>
    <w:p w14:paraId="4B892530">
      <w:pPr>
        <w:pStyle w:val="3"/>
        <w:jc w:val="center"/>
        <w:rPr>
          <w:rFonts w:hint="eastAsia"/>
        </w:rPr>
      </w:pPr>
      <w:r>
        <w:t>前言</w:t>
      </w:r>
    </w:p>
    <w:p w14:paraId="6764875D">
      <w:pPr>
        <w:ind w:firstLine="640"/>
        <w:rPr>
          <w:rFonts w:hint="eastAsia"/>
        </w:rPr>
      </w:pPr>
      <w:r>
        <w:rPr>
          <w:rFonts w:hint="eastAsia"/>
        </w:rPr>
        <w:t>烤房</w:t>
      </w:r>
      <w:r>
        <w:rPr>
          <w:rFonts w:hint="eastAsia"/>
          <w:lang w:val="en-US" w:eastAsia="zh-CN"/>
        </w:rPr>
        <w:t>作为最重要的专用设施，</w:t>
      </w:r>
      <w:r>
        <w:rPr>
          <w:rFonts w:hint="eastAsia"/>
        </w:rPr>
        <w:t>设施状况和管护水平直接影响烘烤质量、生产成本及烟农收益。烤房管理对保障生产</w:t>
      </w:r>
      <w:r>
        <w:rPr>
          <w:rFonts w:hint="eastAsia"/>
          <w:lang w:val="en-US" w:eastAsia="zh-CN"/>
        </w:rPr>
        <w:t>稳定</w:t>
      </w:r>
      <w:r>
        <w:rPr>
          <w:rFonts w:hint="eastAsia"/>
        </w:rPr>
        <w:t>、发挥设施效益和推进烟草农业现代化具有重要意义。</w:t>
      </w:r>
    </w:p>
    <w:p w14:paraId="16A9EE54">
      <w:pPr>
        <w:ind w:firstLine="640"/>
        <w:rPr>
          <w:rFonts w:hint="eastAsia"/>
        </w:rPr>
      </w:pPr>
      <w:r>
        <w:rPr>
          <w:rFonts w:hint="eastAsia"/>
        </w:rPr>
        <w:t>近年来，</w:t>
      </w:r>
      <w:r>
        <w:rPr>
          <w:rFonts w:hint="eastAsia"/>
          <w:lang w:val="en-US" w:eastAsia="zh-CN"/>
        </w:rPr>
        <w:t>行业</w:t>
      </w:r>
      <w:r>
        <w:rPr>
          <w:rFonts w:hint="eastAsia"/>
        </w:rPr>
        <w:t>强化科技创新、数字化转型与降本增效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推动数字经济与烟草产业融合</w:t>
      </w:r>
      <w:r>
        <w:rPr>
          <w:rFonts w:hint="eastAsia"/>
          <w:lang w:val="en-US" w:eastAsia="zh-CN"/>
        </w:rPr>
        <w:t>；</w:t>
      </w:r>
      <w:r>
        <w:rPr>
          <w:rFonts w:hint="eastAsia"/>
        </w:rPr>
        <w:t>湖北省局（公司）</w:t>
      </w:r>
      <w:r>
        <w:rPr>
          <w:rFonts w:hint="eastAsia"/>
          <w:lang w:val="en-US" w:eastAsia="zh-CN"/>
        </w:rPr>
        <w:t>提出</w:t>
      </w:r>
      <w:r>
        <w:rPr>
          <w:rFonts w:hint="eastAsia"/>
        </w:rPr>
        <w:t>烟叶生产机械化、绿色化、专业化、数字化</w:t>
      </w:r>
      <w:r>
        <w:rPr>
          <w:rFonts w:hint="eastAsia"/>
          <w:lang w:val="en-US" w:eastAsia="zh-CN"/>
        </w:rPr>
        <w:t>要求</w:t>
      </w:r>
      <w:r>
        <w:rPr>
          <w:rFonts w:hint="eastAsia"/>
        </w:rPr>
        <w:t>，促进数字技术向生产管理和烟农服务延伸。</w:t>
      </w:r>
    </w:p>
    <w:p w14:paraId="1028C371">
      <w:pPr>
        <w:ind w:firstLine="640"/>
        <w:rPr>
          <w:rFonts w:hint="eastAsia" w:eastAsia="黑体" w:asciiTheme="majorHAnsi" w:hAnsiTheme="majorHAnsi" w:cstheme="majorBidi"/>
          <w:szCs w:val="40"/>
        </w:rPr>
      </w:pPr>
      <w:r>
        <w:rPr>
          <w:rFonts w:hint="eastAsia"/>
        </w:rPr>
        <w:t>本项目立足</w:t>
      </w:r>
      <w:r>
        <w:rPr>
          <w:rFonts w:hint="eastAsia"/>
          <w:lang w:val="en-US" w:eastAsia="zh-CN"/>
        </w:rPr>
        <w:t>上级</w:t>
      </w:r>
      <w:r>
        <w:rPr>
          <w:rFonts w:hint="eastAsia"/>
        </w:rPr>
        <w:t>部署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要求，服务基层管理需求，探索烤房资源统筹、使用管理与管护服务相衔接的数字化路径，以数据支撑管理改进，提高设施利用效率和生产保障能力。</w:t>
      </w:r>
      <w:r>
        <w:rPr>
          <w:rFonts w:hint="eastAsia"/>
        </w:rPr>
        <w:br w:type="page"/>
      </w:r>
    </w:p>
    <w:p w14:paraId="06DE7F00">
      <w:pPr>
        <w:pStyle w:val="3"/>
        <w:jc w:val="center"/>
        <w:rPr>
          <w:rFonts w:hint="eastAsia"/>
        </w:rPr>
      </w:pPr>
      <w:r>
        <w:t>名词解释</w:t>
      </w:r>
    </w:p>
    <w:p w14:paraId="7F0CD5D3">
      <w:pPr>
        <w:pStyle w:val="35"/>
        <w:numPr>
          <w:ilvl w:val="0"/>
          <w:numId w:val="1"/>
        </w:numPr>
        <w:spacing w:after="60"/>
        <w:ind w:firstLineChars="0"/>
        <w:rPr>
          <w:szCs w:val="28"/>
        </w:rPr>
      </w:pPr>
      <w:r>
        <w:rPr>
          <w:rFonts w:hint="eastAsia" w:eastAsia="黑体"/>
          <w:b/>
          <w:szCs w:val="28"/>
        </w:rPr>
        <w:t>AHP层次分析法</w:t>
      </w:r>
      <w:r>
        <w:rPr>
          <w:rFonts w:hint="eastAsia" w:eastAsia="黑体"/>
          <w:b/>
          <w:szCs w:val="28"/>
          <w:lang w:eastAsia="zh-CN"/>
        </w:rPr>
        <w:t>：</w:t>
      </w:r>
      <w:r>
        <w:rPr>
          <w:rFonts w:hint="eastAsia" w:eastAsia="仿宋"/>
          <w:szCs w:val="28"/>
        </w:rPr>
        <w:t>专家两两比较打分确定指标权重，确保主观合理</w:t>
      </w:r>
      <w:r>
        <w:rPr>
          <w:rFonts w:hint="eastAsia" w:eastAsia="仿宋"/>
          <w:szCs w:val="28"/>
          <w:lang w:eastAsia="zh-CN"/>
        </w:rPr>
        <w:t>，</w:t>
      </w:r>
      <w:r>
        <w:rPr>
          <w:rFonts w:hint="eastAsia" w:eastAsia="仿宋"/>
          <w:szCs w:val="28"/>
        </w:rPr>
        <w:t>用于确定</w:t>
      </w:r>
      <w:r>
        <w:rPr>
          <w:rFonts w:hint="eastAsia" w:eastAsia="仿宋"/>
          <w:szCs w:val="28"/>
          <w:lang w:val="en-US" w:eastAsia="zh-CN"/>
        </w:rPr>
        <w:t>烤房健康以及</w:t>
      </w:r>
      <w:r>
        <w:rPr>
          <w:rFonts w:hint="eastAsia" w:eastAsia="仿宋"/>
          <w:szCs w:val="28"/>
        </w:rPr>
        <w:t>选址指标的主观权重。</w:t>
      </w:r>
    </w:p>
    <w:p w14:paraId="20BAD847">
      <w:pPr>
        <w:pStyle w:val="35"/>
        <w:numPr>
          <w:ilvl w:val="0"/>
          <w:numId w:val="1"/>
        </w:numPr>
        <w:spacing w:after="60"/>
        <w:ind w:firstLineChars="0"/>
        <w:rPr>
          <w:szCs w:val="28"/>
        </w:rPr>
      </w:pPr>
      <w:r>
        <w:rPr>
          <w:rFonts w:eastAsia="黑体"/>
          <w:b/>
          <w:szCs w:val="28"/>
        </w:rPr>
        <w:t>TOPSIS：</w:t>
      </w:r>
      <w:r>
        <w:rPr>
          <w:rFonts w:eastAsia="仿宋"/>
          <w:szCs w:val="28"/>
        </w:rPr>
        <w:t>逼近理想解排序法，在正理想解与负理想解间比较，选出最接近理想点的候选方案</w:t>
      </w:r>
      <w:r>
        <w:rPr>
          <w:rFonts w:hint="eastAsia" w:eastAsia="仿宋"/>
          <w:szCs w:val="28"/>
          <w:lang w:eastAsia="zh-CN"/>
        </w:rPr>
        <w:t>，</w:t>
      </w:r>
      <w:r>
        <w:rPr>
          <w:rFonts w:eastAsia="仿宋"/>
          <w:szCs w:val="28"/>
        </w:rPr>
        <w:t>用于新建点位排序。</w:t>
      </w:r>
    </w:p>
    <w:p w14:paraId="4112C5F1">
      <w:pPr>
        <w:pStyle w:val="35"/>
        <w:numPr>
          <w:ilvl w:val="0"/>
          <w:numId w:val="1"/>
        </w:numPr>
        <w:spacing w:after="60"/>
        <w:ind w:firstLineChars="0"/>
        <w:rPr>
          <w:rFonts w:eastAsia="仿宋"/>
          <w:szCs w:val="28"/>
        </w:rPr>
      </w:pPr>
      <w:r>
        <w:rPr>
          <w:rFonts w:eastAsia="黑体"/>
          <w:b/>
          <w:szCs w:val="28"/>
        </w:rPr>
        <w:t>熵权法：</w:t>
      </w:r>
      <w:r>
        <w:rPr>
          <w:rFonts w:eastAsia="仿宋"/>
          <w:szCs w:val="28"/>
        </w:rPr>
        <w:t>根据指标数据离散程度确定客观权重的方法，数据区分度越大、权重越高。</w:t>
      </w:r>
    </w:p>
    <w:p w14:paraId="0A5E21B7">
      <w:pPr>
        <w:pStyle w:val="35"/>
        <w:numPr>
          <w:ilvl w:val="0"/>
          <w:numId w:val="1"/>
        </w:numPr>
        <w:spacing w:after="60"/>
        <w:ind w:firstLineChars="0"/>
        <w:rPr>
          <w:rFonts w:eastAsia="仿宋"/>
          <w:szCs w:val="28"/>
        </w:rPr>
      </w:pPr>
      <w:r>
        <w:rPr>
          <w:rFonts w:hint="eastAsia" w:eastAsia="黑体"/>
          <w:b/>
          <w:szCs w:val="28"/>
        </w:rPr>
        <w:t>威布尔分布</w:t>
      </w:r>
      <w:r>
        <w:rPr>
          <w:rFonts w:hint="eastAsia" w:eastAsia="黑体"/>
          <w:b/>
          <w:szCs w:val="28"/>
          <w:lang w:eastAsia="zh-CN"/>
        </w:rPr>
        <w:t>：</w:t>
      </w:r>
      <w:r>
        <w:rPr>
          <w:rFonts w:hint="eastAsia" w:eastAsia="仿宋"/>
          <w:szCs w:val="28"/>
          <w:lang w:eastAsia="zh-CN"/>
        </w:rPr>
        <w:t>可靠性工程的标准寿命分布模型，用于烤房及其部件剩余寿命分布拟合。</w:t>
      </w:r>
    </w:p>
    <w:p w14:paraId="367EF20A">
      <w:pPr>
        <w:pStyle w:val="35"/>
        <w:numPr>
          <w:ilvl w:val="0"/>
          <w:numId w:val="1"/>
        </w:numPr>
        <w:spacing w:after="60"/>
        <w:ind w:firstLineChars="0"/>
        <w:rPr>
          <w:rFonts w:eastAsia="仿宋"/>
          <w:szCs w:val="28"/>
        </w:rPr>
      </w:pPr>
      <w:r>
        <w:rPr>
          <w:rFonts w:eastAsia="仿宋"/>
          <w:szCs w:val="28"/>
        </w:rPr>
        <w:br w:type="page"/>
      </w:r>
    </w:p>
    <w:p w14:paraId="3F1840DA">
      <w:pPr>
        <w:pStyle w:val="3"/>
        <w:ind w:right="280" w:firstLine="640" w:firstLineChars="200"/>
        <w:rPr>
          <w:rFonts w:hint="eastAsia"/>
        </w:rPr>
      </w:pPr>
      <w:r>
        <w:t>一、选择作品</w:t>
      </w:r>
    </w:p>
    <w:p w14:paraId="207CAF28">
      <w:pPr>
        <w:pStyle w:val="4"/>
        <w:ind w:right="280" w:firstLine="64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（一）提出需求</w:t>
      </w:r>
    </w:p>
    <w:p w14:paraId="6A5861B4">
      <w:pPr>
        <w:ind w:firstLine="640"/>
        <w:rPr>
          <w:rFonts w:hint="eastAsia"/>
        </w:rPr>
      </w:pPr>
      <w:r>
        <w:rPr>
          <w:rFonts w:hint="eastAsia"/>
        </w:rPr>
        <w:t>2025年，宜昌市局面向烟农开展“烤房满意度及建议问卷”匿名调查与线下走访，较为集中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反映出三类烤房关联者面临的三类忧愁。</w:t>
      </w:r>
    </w:p>
    <w:p w14:paraId="47A2224C">
      <w:pPr>
        <w:ind w:firstLine="640"/>
        <w:rPr>
          <w:rFonts w:hint="eastAsia"/>
        </w:rPr>
      </w:pPr>
      <w:r>
        <w:rPr>
          <w:rFonts w:hint="eastAsia"/>
        </w:rPr>
        <w:t>烟农愁：用房愁，资源分布不均、季节性紧张，调剂难；抢修难，故障突发频发、找人难、调度慢、风险大，烟农不满意</w:t>
      </w:r>
      <w:r>
        <w:rPr>
          <w:rFonts w:hint="eastAsia"/>
          <w:lang w:eastAsia="zh-CN"/>
        </w:rPr>
        <w:t>。</w:t>
      </w:r>
      <w:r>
        <w:rPr>
          <w:rFonts w:hint="eastAsia"/>
        </w:rPr>
        <w:t>烟站愁：烤房底数不清、状态不明，新建、修复投入凭经验、无数据支撑，决策与需求不匹配，烟农</w:t>
      </w:r>
      <w:r>
        <w:rPr>
          <w:rFonts w:hint="eastAsia"/>
          <w:lang w:val="en-US" w:eastAsia="zh-CN"/>
        </w:rPr>
        <w:t>有怨言、</w:t>
      </w:r>
      <w:r>
        <w:rPr>
          <w:rFonts w:hint="eastAsia"/>
        </w:rPr>
        <w:t>不信任</w:t>
      </w:r>
      <w:r>
        <w:rPr>
          <w:rFonts w:hint="eastAsia"/>
          <w:lang w:eastAsia="zh-CN"/>
        </w:rPr>
        <w:t>。</w:t>
      </w:r>
      <w:r>
        <w:rPr>
          <w:rFonts w:hint="eastAsia"/>
        </w:rPr>
        <w:t>合作社愁：管护资金不足、使用不规范；管护责任悬空、队伍履职不力；管护成本高、标准不统一；不敢管、不愿管、不服管。</w:t>
      </w:r>
    </w:p>
    <w:p w14:paraId="320AA9A9">
      <w:pPr>
        <w:ind w:firstLine="640"/>
        <w:rPr>
          <w:rFonts w:hint="eastAsia"/>
        </w:rPr>
      </w:pPr>
      <w:r>
        <w:rPr>
          <w:rFonts w:hint="eastAsia"/>
        </w:rPr>
        <w:t>“三愁”现状并非单个业务环节的偶发问题，而是烤房在生产实践中的资源配置，行业宏观投入和日常管护</w:t>
      </w:r>
      <w:r>
        <w:rPr>
          <w:rFonts w:hint="eastAsia"/>
          <w:lang w:val="en-US" w:eastAsia="zh-CN"/>
        </w:rPr>
        <w:t>服务</w:t>
      </w:r>
      <w:r>
        <w:rPr>
          <w:rFonts w:hint="eastAsia"/>
        </w:rPr>
        <w:t>中缺乏有效衔接的集中体现。其归纳为烤房管理面临的三大痛点：一是资源调度缺少数字支撑；二是基础设施投入缺少量化依据；三是管护运</w:t>
      </w:r>
      <w:r>
        <w:rPr>
          <w:rFonts w:hint="eastAsia"/>
          <w:lang w:val="en-US" w:eastAsia="zh-CN"/>
        </w:rPr>
        <w:t>维</w:t>
      </w:r>
      <w:r>
        <w:rPr>
          <w:rFonts w:hint="eastAsia"/>
        </w:rPr>
        <w:t>缺少闭环约束智能工具。</w:t>
      </w:r>
    </w:p>
    <w:p w14:paraId="5E1B8006">
      <w:pPr>
        <w:pStyle w:val="4"/>
        <w:ind w:right="280" w:firstLine="64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（二）确定作品</w:t>
      </w:r>
    </w:p>
    <w:p w14:paraId="600B58E5">
      <w:pPr>
        <w:ind w:firstLine="640"/>
        <w:rPr>
          <w:rFonts w:hint="eastAsia"/>
        </w:rPr>
      </w:pPr>
      <w:r>
        <w:rPr>
          <w:rFonts w:hint="eastAsia"/>
        </w:rPr>
        <w:t>基于上述痛点，项目组提出建设“</w:t>
      </w:r>
      <w:r>
        <w:rPr>
          <w:rFonts w:hint="eastAsia"/>
          <w:lang w:val="en-US" w:eastAsia="zh-CN"/>
        </w:rPr>
        <w:t>智烤管家--基于健康评估的烤房用投管一体化解决方案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>， 以</w:t>
      </w:r>
      <w:r>
        <w:rPr>
          <w:rFonts w:hint="eastAsia"/>
          <w:lang w:val="en-US" w:eastAsia="zh-CN"/>
        </w:rPr>
        <w:t>数据支撑</w:t>
      </w:r>
      <w:r>
        <w:rPr>
          <w:rFonts w:hint="eastAsia"/>
        </w:rPr>
        <w:t>的烤房全周期管</w:t>
      </w:r>
      <w:r>
        <w:rPr>
          <w:rFonts w:hint="eastAsia"/>
          <w:lang w:val="en-US" w:eastAsia="zh-CN"/>
        </w:rPr>
        <w:t>家</w:t>
      </w:r>
      <w:r>
        <w:rPr>
          <w:rFonts w:hint="eastAsia"/>
        </w:rPr>
        <w:t>为主线，贯通烟农、合作社和行业部门，形成“一个数据库、两个模型、一个协同平台”的成果框架。</w:t>
      </w:r>
    </w:p>
    <w:p w14:paraId="23AD158D">
      <w:pPr>
        <w:ind w:left="0" w:leftChars="0" w:firstLine="0" w:firstLineChars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84470" cy="4119245"/>
            <wp:effectExtent l="0" t="0" r="11430" b="14605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4119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F9D57F">
      <w:pPr>
        <w:ind w:left="280" w:right="280" w:firstLine="42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 “一个数据库、两个模型、一个协同平台”总体架构图</w:t>
      </w:r>
    </w:p>
    <w:p w14:paraId="47806704">
      <w:pPr>
        <w:pStyle w:val="3"/>
        <w:ind w:right="280" w:firstLine="640" w:firstLineChars="200"/>
        <w:rPr>
          <w:rFonts w:hint="eastAsia"/>
        </w:rPr>
      </w:pPr>
      <w:r>
        <w:rPr>
          <w:rFonts w:hint="eastAsia"/>
        </w:rPr>
        <w:t>二、设定目标及可行性论证</w:t>
      </w:r>
    </w:p>
    <w:p w14:paraId="23FCE44A">
      <w:pPr>
        <w:pStyle w:val="4"/>
        <w:ind w:right="280" w:firstLine="64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（一）设定目标</w:t>
      </w:r>
    </w:p>
    <w:p w14:paraId="37CEAA93">
      <w:pPr>
        <w:ind w:firstLine="640"/>
        <w:rPr>
          <w:rFonts w:hint="eastAsia"/>
        </w:rPr>
      </w:pPr>
      <w:r>
        <w:rPr>
          <w:rFonts w:hint="eastAsia"/>
        </w:rPr>
        <w:t>该项目拟在宜昌市秭归烟区开展应用：</w:t>
      </w:r>
    </w:p>
    <w:p w14:paraId="0E728C04">
      <w:pPr>
        <w:ind w:firstLine="640"/>
        <w:rPr>
          <w:rFonts w:hint="eastAsia"/>
        </w:rPr>
      </w:pPr>
      <w:r>
        <w:rPr>
          <w:rFonts w:hint="eastAsia"/>
        </w:rPr>
        <w:t>1.烤房数据库：100%覆盖现有可用烤房，不低于1600栋；形成健康评价及统计看板，行业部门可有效查询、分级查询；</w:t>
      </w:r>
    </w:p>
    <w:p w14:paraId="5B723B49">
      <w:pPr>
        <w:ind w:firstLine="640"/>
        <w:rPr>
          <w:rFonts w:hint="eastAsia"/>
        </w:rPr>
      </w:pPr>
      <w:r>
        <w:rPr>
          <w:rFonts w:hint="eastAsia"/>
        </w:rPr>
        <w:t>2.健全管护制度</w:t>
      </w:r>
      <w:r>
        <w:rPr>
          <w:rFonts w:hint="eastAsia"/>
          <w:lang w:eastAsia="zh-CN"/>
        </w:rPr>
        <w:t>：</w:t>
      </w:r>
      <w:r>
        <w:rPr>
          <w:rFonts w:hint="eastAsia"/>
        </w:rPr>
        <w:t>出台管护标准，流程清晰；合作社服务队各司其职，管护成本降低，管护效率提升，统一管护的在用烤房占比65%以上。</w:t>
      </w:r>
    </w:p>
    <w:p w14:paraId="48594473">
      <w:pPr>
        <w:ind w:firstLine="640"/>
        <w:rPr>
          <w:rFonts w:hint="eastAsia"/>
        </w:rPr>
      </w:pPr>
      <w:r>
        <w:rPr>
          <w:rFonts w:hint="eastAsia"/>
        </w:rPr>
        <w:t>3.调剂和抢修响应时间：控制在0.5小时以内；烟农临时需求满足</w:t>
      </w:r>
      <w:r>
        <w:rPr>
          <w:rFonts w:hint="eastAsia"/>
          <w:lang w:val="en-US" w:eastAsia="zh-CN"/>
        </w:rPr>
        <w:t>率</w:t>
      </w:r>
      <w:r>
        <w:rPr>
          <w:rFonts w:hint="eastAsia"/>
          <w:lang w:eastAsia="zh-CN"/>
        </w:rPr>
        <w:t>、</w:t>
      </w:r>
      <w:r>
        <w:rPr>
          <w:rFonts w:hint="eastAsia"/>
        </w:rPr>
        <w:t>满意</w:t>
      </w:r>
      <w:r>
        <w:rPr>
          <w:rFonts w:hint="eastAsia"/>
          <w:lang w:val="en-US" w:eastAsia="zh-CN"/>
        </w:rPr>
        <w:t>率</w:t>
      </w:r>
      <w:r>
        <w:rPr>
          <w:rFonts w:hint="eastAsia"/>
        </w:rPr>
        <w:t>提升到95%以上。</w:t>
      </w:r>
    </w:p>
    <w:p w14:paraId="23A3BCF5">
      <w:pPr>
        <w:pStyle w:val="4"/>
        <w:ind w:right="280" w:firstLine="64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（二）目标可行性论证</w:t>
      </w:r>
    </w:p>
    <w:p w14:paraId="5B94B9ED">
      <w:pPr>
        <w:ind w:firstLine="643"/>
        <w:rPr>
          <w:rFonts w:hint="eastAsia"/>
        </w:rPr>
      </w:pPr>
      <w:r>
        <w:rPr>
          <w:rFonts w:hint="eastAsia"/>
          <w:b/>
          <w:bCs/>
        </w:rPr>
        <w:t>研究可行性。</w:t>
      </w:r>
      <w:r>
        <w:rPr>
          <w:rFonts w:hint="eastAsia"/>
        </w:rPr>
        <w:t>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 w14:paraId="73AD9867">
      <w:pPr>
        <w:ind w:firstLine="643"/>
        <w:rPr>
          <w:rFonts w:hint="eastAsia"/>
        </w:rPr>
      </w:pPr>
      <w:r>
        <w:rPr>
          <w:rFonts w:hint="eastAsia"/>
          <w:b/>
          <w:bCs/>
        </w:rPr>
        <w:t>技术可行性。</w:t>
      </w:r>
      <w:r>
        <w:rPr>
          <w:rFonts w:hint="eastAsia"/>
        </w:rPr>
        <w:t>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 w14:paraId="65BCA96B">
      <w:pPr>
        <w:ind w:firstLine="643"/>
        <w:rPr>
          <w:rFonts w:hint="eastAsia"/>
        </w:rPr>
      </w:pPr>
      <w:r>
        <w:rPr>
          <w:rFonts w:hint="eastAsia"/>
          <w:b/>
          <w:bCs/>
        </w:rPr>
        <w:t>经济可行性。</w:t>
      </w:r>
      <w:r>
        <w:rPr>
          <w:rFonts w:hint="eastAsia"/>
        </w:rPr>
        <w:t>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 w14:paraId="11BC4D68">
      <w:pPr>
        <w:pStyle w:val="3"/>
        <w:ind w:right="280" w:firstLine="640" w:firstLineChars="200"/>
        <w:rPr>
          <w:rFonts w:hint="eastAsia"/>
        </w:rPr>
      </w:pPr>
      <w:r>
        <w:rPr>
          <w:rFonts w:hint="eastAsia"/>
        </w:rPr>
        <w:t>三、设计及确定方案</w:t>
      </w:r>
    </w:p>
    <w:p w14:paraId="7FF258F5">
      <w:pPr>
        <w:pStyle w:val="4"/>
        <w:ind w:right="280" w:firstLine="64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（一）设计思路</w:t>
      </w:r>
    </w:p>
    <w:p w14:paraId="0F4BA877">
      <w:pPr>
        <w:ind w:firstLine="643"/>
        <w:rPr>
          <w:rFonts w:hint="eastAsia"/>
        </w:rPr>
      </w:pPr>
      <w:r>
        <w:rPr>
          <w:rFonts w:hint="eastAsia"/>
        </w:rPr>
        <w:t>项目以烟农需求为导向，围绕烤房“用、投、管”全过程，聚焦资源调度、建设决策和管护运行中的突出问题，按照“摸清家底、科学评价、协同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创新实践</w:t>
      </w:r>
      <w:r>
        <w:rPr>
          <w:rFonts w:hint="eastAsia"/>
        </w:rPr>
        <w:t>”的思路，归集烤房基础信息及调剂、维修、养护记录，构建烤房基础数据库、健康评估与村级发展导引两个模型、管家协同平台。</w:t>
      </w:r>
    </w:p>
    <w:p w14:paraId="2A6F74C7">
      <w:pPr>
        <w:ind w:left="0" w:leftChars="0" w:firstLine="0" w:firstLineChars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656965"/>
            <wp:effectExtent l="0" t="0" r="6985" b="635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56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67E433">
      <w:pPr>
        <w:ind w:right="280"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图2 项目蓝图</w:t>
      </w:r>
    </w:p>
    <w:p w14:paraId="5200A79D">
      <w:pPr>
        <w:ind w:firstLine="643"/>
        <w:rPr>
          <w:rFonts w:hint="eastAsia"/>
        </w:rPr>
      </w:pPr>
      <w:r>
        <w:rPr>
          <w:rFonts w:hint="eastAsia"/>
        </w:rPr>
        <w:t>通过“智用”盘活资源、保障抢修，“智投”辅助新建、修复等行业投入决策，“智管”规范队伍、资金，形成业务办理、结果反馈和数据更新闭环。</w:t>
      </w:r>
    </w:p>
    <w:p w14:paraId="0A0ABA82">
      <w:pPr>
        <w:ind w:right="280" w:firstLine="0" w:firstLineChars="0"/>
        <w:jc w:val="both"/>
        <w:rPr>
          <w:rFonts w:hint="eastAsia" w:ascii="宋体" w:hAnsi="宋体" w:eastAsia="宋体"/>
          <w:sz w:val="21"/>
          <w:szCs w:val="21"/>
        </w:rPr>
      </w:pPr>
    </w:p>
    <w:p w14:paraId="387D44F6">
      <w:pPr>
        <w:pStyle w:val="4"/>
        <w:ind w:right="280" w:firstLine="64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（二）确定方案</w:t>
      </w:r>
    </w:p>
    <w:p w14:paraId="38CB6703">
      <w:pPr>
        <w:ind w:firstLine="643"/>
        <w:rPr>
          <w:rFonts w:hint="eastAsia"/>
        </w:rPr>
      </w:pPr>
      <w:r>
        <w:rPr>
          <w:rFonts w:hint="eastAsia"/>
        </w:rPr>
        <w:t>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</w:t>
      </w:r>
      <w:r>
        <w:rPr>
          <w:rFonts w:hint="eastAsia"/>
          <w:lang w:val="en-US" w:eastAsia="zh-CN"/>
        </w:rPr>
        <w:t>房</w:t>
      </w:r>
      <w:r>
        <w:rPr>
          <w:rFonts w:hint="eastAsia"/>
        </w:rPr>
        <w:t>承载及发展需求，辅助提出新建</w:t>
      </w:r>
      <w:r>
        <w:rPr>
          <w:rFonts w:hint="eastAsia"/>
          <w:lang w:val="en-US" w:eastAsia="zh-CN"/>
        </w:rPr>
        <w:t>或修复</w:t>
      </w:r>
      <w:r>
        <w:rPr>
          <w:rFonts w:hint="eastAsia"/>
        </w:rPr>
        <w:t>建议；一个管家协同平台由烟农微信小程序和合作社、管理人员网页后台共同支撑。</w:t>
      </w:r>
    </w:p>
    <w:p w14:paraId="6E3BA92A">
      <w:pPr>
        <w:pStyle w:val="3"/>
        <w:ind w:right="280" w:firstLine="640" w:firstLineChars="200"/>
        <w:rPr>
          <w:rFonts w:hint="eastAsia"/>
        </w:rPr>
      </w:pPr>
      <w:r>
        <w:rPr>
          <w:rFonts w:hint="eastAsia"/>
        </w:rPr>
        <w:t>四、方案实施过程</w:t>
      </w:r>
    </w:p>
    <w:p w14:paraId="01D5B09D">
      <w:pPr>
        <w:pStyle w:val="4"/>
        <w:ind w:right="280" w:firstLine="64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（一）技术路线</w:t>
      </w:r>
    </w:p>
    <w:p w14:paraId="7DE5305A">
      <w:pPr>
        <w:ind w:firstLine="643"/>
        <w:rPr>
          <w:rFonts w:hint="eastAsia"/>
        </w:rPr>
      </w:pPr>
      <w:r>
        <w:rPr>
          <w:rFonts w:hint="eastAsia"/>
        </w:rPr>
        <w:t>1. 工具选择</w:t>
      </w:r>
    </w:p>
    <w:p w14:paraId="5C7CEB2D">
      <w:pPr>
        <w:ind w:firstLine="643"/>
        <w:rPr>
          <w:rFonts w:hint="eastAsia"/>
        </w:rPr>
      </w:pPr>
      <w:r>
        <w:rPr>
          <w:rFonts w:hint="eastAsia"/>
        </w:rPr>
        <w:t>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 w14:paraId="7CAB39C3">
      <w:pPr>
        <w:numPr>
          <w:ilvl w:val="0"/>
          <w:numId w:val="2"/>
        </w:numPr>
        <w:ind w:firstLine="643"/>
        <w:rPr>
          <w:rFonts w:hint="eastAsia"/>
        </w:rPr>
      </w:pPr>
      <w:r>
        <w:rPr>
          <w:rFonts w:hint="eastAsia"/>
        </w:rPr>
        <w:t>数据来源</w:t>
      </w:r>
    </w:p>
    <w:p w14:paraId="078C3025">
      <w:pPr>
        <w:numPr>
          <w:ilvl w:val="0"/>
          <w:numId w:val="0"/>
        </w:numPr>
        <w:ind w:firstLine="643" w:firstLineChars="200"/>
      </w:pPr>
      <w:r>
        <w:rPr>
          <w:rFonts w:hint="eastAsia" w:ascii="Calibri" w:hAnsi="Calibri" w:cs="Calibri"/>
          <w:b/>
          <w:bCs/>
          <w:lang w:eastAsia="zh-CN"/>
        </w:rPr>
        <w:t>（</w:t>
      </w:r>
      <w:r>
        <w:rPr>
          <w:rFonts w:hint="eastAsia" w:ascii="Calibri" w:hAnsi="Calibri" w:cs="Calibri"/>
          <w:b/>
          <w:bCs/>
          <w:lang w:val="en-US" w:eastAsia="zh-CN"/>
        </w:rPr>
        <w:t>1</w:t>
      </w:r>
      <w:r>
        <w:rPr>
          <w:rFonts w:hint="eastAsia" w:ascii="Calibri" w:hAnsi="Calibri" w:cs="Calibri"/>
          <w:b/>
          <w:bCs/>
          <w:lang w:eastAsia="zh-CN"/>
        </w:rPr>
        <w:t>）</w:t>
      </w:r>
      <w:r>
        <w:rPr>
          <w:b/>
          <w:bCs/>
        </w:rPr>
        <w:t>烤房基础数据</w:t>
      </w:r>
      <w:r>
        <w:t>：来源于烟草部门基础设施台账、合作社登记资料和现场核查</w:t>
      </w:r>
      <w:r>
        <w:rPr>
          <w:rFonts w:hint="eastAsia"/>
        </w:rPr>
        <w:t>；</w:t>
      </w:r>
      <w:r>
        <w:t>日常检查、专项排查和维修验收记录，涵盖</w:t>
      </w:r>
      <w:r>
        <w:rPr>
          <w:rFonts w:hint="eastAsia"/>
        </w:rPr>
        <w:t>烤房四大部位涉及</w:t>
      </w:r>
      <w:r>
        <w:rPr>
          <w:rFonts w:hint="eastAsia"/>
          <w:lang w:val="en-US" w:eastAsia="zh-CN"/>
        </w:rPr>
        <w:t>十八</w:t>
      </w:r>
      <w:r>
        <w:rPr>
          <w:rFonts w:hint="eastAsia"/>
        </w:rPr>
        <w:t>个关键部件状态等信息；</w:t>
      </w:r>
      <w:r>
        <w:rPr>
          <w:rFonts w:hint="eastAsia"/>
          <w:lang w:val="en-US" w:eastAsia="zh-CN"/>
        </w:rPr>
        <w:t>并辅以低代码开发的应用对烤房部件信息进行补充填报。</w:t>
      </w:r>
    </w:p>
    <w:p w14:paraId="281FBDC1">
      <w:pPr>
        <w:pStyle w:val="35"/>
        <w:numPr>
          <w:ilvl w:val="0"/>
          <w:numId w:val="0"/>
        </w:numPr>
        <w:ind w:firstLine="643" w:firstLineChars="200"/>
      </w:pPr>
      <w:r>
        <w:rPr>
          <w:rFonts w:hint="eastAsia" w:ascii="Calibri" w:hAnsi="Calibri" w:cs="Calibri"/>
          <w:b/>
          <w:bCs/>
          <w:lang w:eastAsia="zh-CN"/>
        </w:rPr>
        <w:t>（</w:t>
      </w:r>
      <w:r>
        <w:rPr>
          <w:rFonts w:hint="eastAsia" w:ascii="Calibri" w:hAnsi="Calibri" w:cs="Calibri"/>
          <w:b/>
          <w:bCs/>
          <w:lang w:val="en-US" w:eastAsia="zh-CN"/>
        </w:rPr>
        <w:t>2</w:t>
      </w:r>
      <w:r>
        <w:rPr>
          <w:rFonts w:hint="eastAsia" w:ascii="Calibri" w:hAnsi="Calibri" w:cs="Calibri"/>
          <w:b/>
          <w:bCs/>
          <w:lang w:eastAsia="zh-CN"/>
        </w:rPr>
        <w:t>）</w:t>
      </w:r>
      <w:r>
        <w:rPr>
          <w:b/>
          <w:bCs/>
        </w:rPr>
        <w:t>烤房</w:t>
      </w:r>
      <w:r>
        <w:rPr>
          <w:rFonts w:hint="eastAsia"/>
          <w:b/>
          <w:bCs/>
        </w:rPr>
        <w:t>使用及日常管理</w:t>
      </w:r>
      <w:r>
        <w:rPr>
          <w:b/>
          <w:bCs/>
        </w:rPr>
        <w:t>数据</w:t>
      </w:r>
      <w:r>
        <w:t>：来源于合作社调剂记录、烟农申请</w:t>
      </w:r>
      <w:r>
        <w:rPr>
          <w:rFonts w:hint="eastAsia"/>
        </w:rPr>
        <w:t>、</w:t>
      </w:r>
      <w:r>
        <w:t>烘烤季实际使用情况</w:t>
      </w:r>
      <w:r>
        <w:rPr>
          <w:rFonts w:hint="eastAsia"/>
        </w:rPr>
        <w:t>、</w:t>
      </w:r>
      <w:r>
        <w:t>合作社档案</w:t>
      </w:r>
      <w:r>
        <w:rPr>
          <w:rFonts w:hint="eastAsia"/>
        </w:rPr>
        <w:t>、</w:t>
      </w:r>
      <w:r>
        <w:t>日常管理记录</w:t>
      </w:r>
      <w:r>
        <w:rPr>
          <w:rFonts w:hint="eastAsia"/>
        </w:rPr>
        <w:t>和烤房维护相关记录；</w:t>
      </w:r>
    </w:p>
    <w:p w14:paraId="64BF656F">
      <w:pPr>
        <w:pStyle w:val="35"/>
        <w:numPr>
          <w:ilvl w:val="0"/>
          <w:numId w:val="0"/>
        </w:numPr>
        <w:ind w:firstLine="643" w:firstLineChars="200"/>
      </w:pPr>
      <w:r>
        <w:rPr>
          <w:rFonts w:hint="eastAsia" w:ascii="Calibri" w:hAnsi="Calibri" w:cs="Calibri"/>
          <w:b/>
          <w:bCs/>
          <w:lang w:eastAsia="zh-CN"/>
        </w:rPr>
        <w:t>（</w:t>
      </w:r>
      <w:r>
        <w:rPr>
          <w:rFonts w:hint="eastAsia" w:ascii="Calibri" w:hAnsi="Calibri" w:cs="Calibri"/>
          <w:b/>
          <w:bCs/>
          <w:lang w:val="en-US" w:eastAsia="zh-CN"/>
        </w:rPr>
        <w:t>3</w:t>
      </w:r>
      <w:r>
        <w:rPr>
          <w:rFonts w:hint="eastAsia" w:ascii="Calibri" w:hAnsi="Calibri" w:cs="Calibri"/>
          <w:b/>
          <w:bCs/>
          <w:lang w:eastAsia="zh-CN"/>
        </w:rPr>
        <w:t>）</w:t>
      </w:r>
      <w:r>
        <w:rPr>
          <w:b/>
          <w:bCs/>
        </w:rPr>
        <w:t>烟叶生产数据</w:t>
      </w:r>
      <w:r>
        <w:t>：来源于烟叶生产管理资料，包括村级种烟面积、烟叶收购量、种烟农户数量及年度变化情况，用于测算烘烤需求和供需缺口</w:t>
      </w:r>
      <w:r>
        <w:rPr>
          <w:rFonts w:hint="eastAsia"/>
        </w:rPr>
        <w:t>；</w:t>
      </w:r>
    </w:p>
    <w:p w14:paraId="1DA348BD">
      <w:pPr>
        <w:pStyle w:val="35"/>
        <w:numPr>
          <w:ilvl w:val="0"/>
          <w:numId w:val="0"/>
        </w:numPr>
        <w:ind w:firstLine="643" w:firstLineChars="200"/>
      </w:pPr>
      <w:r>
        <w:rPr>
          <w:rFonts w:hint="eastAsia" w:ascii="仿宋_GB2312" w:hAnsi="仿宋_GB2312" w:cs="仿宋_GB2312"/>
          <w:b/>
          <w:bCs/>
          <w:lang w:eastAsia="zh-CN"/>
        </w:rPr>
        <w:t>（</w:t>
      </w:r>
      <w:r>
        <w:rPr>
          <w:rFonts w:hint="eastAsia" w:ascii="仿宋_GB2312" w:hAnsi="仿宋_GB2312" w:cs="仿宋_GB2312"/>
          <w:b/>
          <w:bCs/>
          <w:lang w:val="en-US" w:eastAsia="zh-CN"/>
        </w:rPr>
        <w:t>4</w:t>
      </w:r>
      <w:r>
        <w:rPr>
          <w:rFonts w:hint="eastAsia" w:ascii="仿宋_GB2312" w:hAnsi="仿宋_GB2312" w:cs="仿宋_GB2312"/>
          <w:b/>
          <w:bCs/>
          <w:lang w:eastAsia="zh-CN"/>
        </w:rPr>
        <w:t>）</w:t>
      </w:r>
      <w:r>
        <w:rPr>
          <w:b/>
          <w:bCs/>
        </w:rPr>
        <w:t>平台运行数据</w:t>
      </w:r>
      <w:r>
        <w:t>：来源于烟农微信小程序和合作社管理后台，随系统运行持续更新。</w:t>
      </w:r>
    </w:p>
    <w:p w14:paraId="1C2A4657">
      <w:pPr>
        <w:ind w:left="0" w:leftChars="0" w:firstLine="640" w:firstLineChars="200"/>
        <w:rPr>
          <w:rFonts w:hint="eastAsia" w:asciiTheme="minorHAnsi" w:hAnsiTheme="minorHAnsi"/>
        </w:rPr>
      </w:pPr>
      <w:r>
        <w:rPr>
          <w:rFonts w:hint="eastAsia"/>
        </w:rPr>
        <w:t>以上数据先进行名称统一、重复项处理、缺失项核实和坐标校验，再按烤房编号写入数据库。</w:t>
      </w:r>
    </w:p>
    <w:p w14:paraId="1CD93C9E">
      <w:pPr>
        <w:pStyle w:val="4"/>
        <w:ind w:right="280" w:firstLine="64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（二）算法设计</w:t>
      </w:r>
    </w:p>
    <w:p w14:paraId="54F7380A">
      <w:pPr>
        <w:ind w:firstLine="643"/>
        <w:rPr>
          <w:rFonts w:hint="eastAsia"/>
        </w:rPr>
      </w:pPr>
      <w:r>
        <w:rPr>
          <w:rFonts w:hint="eastAsia"/>
        </w:rPr>
        <w:t>1. 烤房健康评估模型</w:t>
      </w:r>
    </w:p>
    <w:p w14:paraId="2B2DABC7">
      <w:pPr>
        <w:ind w:firstLine="643"/>
        <w:rPr>
          <w:rFonts w:hint="eastAsia"/>
        </w:rPr>
      </w:pPr>
      <w:r>
        <w:rPr>
          <w:rFonts w:hint="eastAsia"/>
        </w:rPr>
        <w:t>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 w14:paraId="1223CA76">
      <w:pPr>
        <w:ind w:firstLine="0" w:firstLineChars="0"/>
      </w:pPr>
      <w:r>
        <w:drawing>
          <wp:inline distT="0" distB="0" distL="0" distR="0">
            <wp:extent cx="5274310" cy="2597785"/>
            <wp:effectExtent l="0" t="0" r="2540" b="0"/>
            <wp:docPr id="5973606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0692" name="图片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CA31">
      <w:pPr>
        <w:ind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图3 烤房健康分计算</w:t>
      </w:r>
    </w:p>
    <w:p w14:paraId="136C24C1">
      <w:pPr>
        <w:ind w:firstLine="643"/>
        <w:rPr>
          <w:rFonts w:hint="eastAsia"/>
        </w:rPr>
      </w:pPr>
      <w:r>
        <w:rPr>
          <w:rFonts w:hint="eastAsia"/>
        </w:rPr>
        <w:t>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 w14:paraId="47F01C0E">
      <w:pPr>
        <w:ind w:left="0" w:leftChars="0" w:firstLine="0" w:firstLineChars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5255" cy="3006725"/>
            <wp:effectExtent l="0" t="0" r="4445" b="317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00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E05823">
      <w:pPr>
        <w:ind w:firstLine="42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图4 烤房健康评估模型流程图</w:t>
      </w:r>
    </w:p>
    <w:p w14:paraId="1CA2199F">
      <w:pPr>
        <w:ind w:firstLine="643"/>
        <w:rPr>
          <w:rFonts w:hint="eastAsia"/>
        </w:rPr>
      </w:pPr>
      <w:r>
        <w:rPr>
          <w:rFonts w:hint="eastAsia"/>
        </w:rPr>
        <w:t>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 w14:paraId="11BDB99D">
      <w:pPr>
        <w:ind w:firstLine="643"/>
        <w:rPr>
          <w:rFonts w:hint="eastAsia"/>
        </w:rPr>
      </w:pPr>
      <w:r>
        <w:rPr>
          <w:rFonts w:hint="eastAsia"/>
        </w:rPr>
        <w:t>2. 千亩村发展导引模型</w:t>
      </w:r>
    </w:p>
    <w:p w14:paraId="36866F23">
      <w:pPr>
        <w:ind w:firstLine="643"/>
        <w:rPr>
          <w:rFonts w:hint="eastAsia"/>
        </w:rPr>
      </w:pPr>
      <w:r>
        <w:rPr>
          <w:rFonts w:hint="eastAsia"/>
        </w:rPr>
        <w:t>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 w14:paraId="5B5CE4EA">
      <w:pPr>
        <w:ind w:left="0" w:leftChars="0" w:firstLine="0" w:firstLineChars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6385" cy="3187700"/>
            <wp:effectExtent l="0" t="0" r="5715" b="1270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12C048">
      <w:pPr>
        <w:ind w:firstLine="42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图5 </w:t>
      </w:r>
      <w:r>
        <w:rPr>
          <w:rFonts w:ascii="宋体" w:hAnsi="宋体" w:eastAsia="宋体"/>
          <w:sz w:val="21"/>
          <w:szCs w:val="21"/>
        </w:rPr>
        <w:t>烤房新建决策模型</w:t>
      </w:r>
      <w:r>
        <w:rPr>
          <w:rFonts w:hint="eastAsia" w:ascii="宋体" w:hAnsi="宋体" w:eastAsia="宋体"/>
          <w:sz w:val="21"/>
          <w:szCs w:val="21"/>
        </w:rPr>
        <w:t>流程图</w:t>
      </w:r>
    </w:p>
    <w:p w14:paraId="6A673025">
      <w:pPr>
        <w:ind w:firstLine="643"/>
        <w:rPr>
          <w:rFonts w:hint="eastAsia"/>
        </w:rPr>
      </w:pPr>
      <w:r>
        <w:rPr>
          <w:rFonts w:hint="eastAsia"/>
        </w:rPr>
        <w:t>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 w14:paraId="13AED8CE">
      <w:pPr>
        <w:pStyle w:val="3"/>
        <w:ind w:firstLine="640" w:firstLineChars="200"/>
        <w:rPr>
          <w:rFonts w:hint="eastAsia"/>
        </w:rPr>
      </w:pPr>
      <w:r>
        <w:rPr>
          <w:rFonts w:hint="eastAsia"/>
        </w:rPr>
        <w:t>五、成果功能说明</w:t>
      </w:r>
    </w:p>
    <w:p w14:paraId="35C02463">
      <w:pPr>
        <w:ind w:firstLine="0" w:firstLineChars="0"/>
        <w:jc w:val="center"/>
      </w:pPr>
      <w:r>
        <w:drawing>
          <wp:inline distT="0" distB="0" distL="0" distR="0">
            <wp:extent cx="5274310" cy="2574290"/>
            <wp:effectExtent l="0" t="0" r="2540" b="0"/>
            <wp:docPr id="1955847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7436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C3BB">
      <w:pPr>
        <w:ind w:firstLine="0" w:firstLineChars="0"/>
        <w:jc w:val="center"/>
        <w:rPr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图6 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FinBI烤房</w:t>
      </w:r>
      <w:r>
        <w:rPr>
          <w:rFonts w:hint="eastAsia" w:ascii="宋体" w:hAnsi="宋体" w:eastAsia="宋体"/>
          <w:sz w:val="21"/>
          <w:szCs w:val="21"/>
        </w:rPr>
        <w:t>总览大屏</w:t>
      </w:r>
    </w:p>
    <w:p w14:paraId="7AA1A7A2">
      <w:pPr>
        <w:ind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849755" cy="4005580"/>
            <wp:effectExtent l="0" t="0" r="17145" b="13970"/>
            <wp:docPr id="432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47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325" cy="402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F5BA">
      <w:pPr>
        <w:ind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图7 轻流低代码平台数据采集</w:t>
      </w:r>
    </w:p>
    <w:p w14:paraId="3AE7AE6C">
      <w:pPr>
        <w:ind w:firstLine="0" w:firstLineChars="0"/>
        <w:jc w:val="center"/>
      </w:pPr>
      <w:r>
        <w:drawing>
          <wp:inline distT="0" distB="0" distL="0" distR="0">
            <wp:extent cx="1755140" cy="3429000"/>
            <wp:effectExtent l="0" t="0" r="0" b="0"/>
            <wp:docPr id="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237" cy="342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drawing>
          <wp:inline distT="0" distB="0" distL="0" distR="0">
            <wp:extent cx="1755140" cy="3429000"/>
            <wp:effectExtent l="0" t="0" r="0" b="0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237" cy="342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3482">
      <w:pPr>
        <w:ind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图8 小程序端烤房调剂与报修功能</w:t>
      </w:r>
    </w:p>
    <w:p w14:paraId="5FBA3FCF">
      <w:pPr>
        <w:ind w:firstLine="0" w:firstLineChars="0"/>
        <w:jc w:val="center"/>
        <w:rPr>
          <w:sz w:val="21"/>
          <w:szCs w:val="21"/>
        </w:rPr>
      </w:pPr>
    </w:p>
    <w:p w14:paraId="072EC736">
      <w:pPr>
        <w:ind w:firstLine="0" w:firstLineChars="0"/>
        <w:jc w:val="center"/>
        <w:rPr>
          <w:sz w:val="21"/>
          <w:szCs w:val="21"/>
        </w:rPr>
      </w:pPr>
    </w:p>
    <w:p w14:paraId="2F3CD32F">
      <w:pPr>
        <w:ind w:firstLine="0" w:firstLineChars="0"/>
        <w:jc w:val="both"/>
        <w:rPr>
          <w:sz w:val="21"/>
          <w:szCs w:val="21"/>
        </w:rPr>
      </w:pPr>
    </w:p>
    <w:p w14:paraId="4B7E73C9">
      <w:pPr>
        <w:ind w:firstLine="0" w:firstLineChars="0"/>
        <w:jc w:val="center"/>
        <w:rPr>
          <w:sz w:val="21"/>
          <w:szCs w:val="21"/>
        </w:rPr>
      </w:pPr>
    </w:p>
    <w:p w14:paraId="4D2CCB52">
      <w:pPr>
        <w:ind w:firstLine="0" w:firstLineChars="0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drawing>
          <wp:inline distT="0" distB="0" distL="0" distR="0">
            <wp:extent cx="5085715" cy="2320290"/>
            <wp:effectExtent l="0" t="0" r="19685" b="16510"/>
            <wp:docPr id="52" name="图片 51" descr="/Users/yuwenjie/Documents/Traeppp08/报告0829/0908/总览web.png总览we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 descr="/Users/yuwenjie/Documents/Traeppp08/报告0829/0908/总览web.png总览web"/>
                    <pic:cNvPicPr/>
                  </pic:nvPicPr>
                  <pic:blipFill>
                    <a:blip r:embed="rId22"/>
                    <a:srcRect t="3958" b="3958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236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F8CE">
      <w:pPr>
        <w:ind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图9 web端后台管理界面</w:t>
      </w:r>
    </w:p>
    <w:p w14:paraId="56FCEC25">
      <w:pPr>
        <w:ind w:firstLine="0" w:firstLineChars="0"/>
        <w:jc w:val="center"/>
        <w:rPr>
          <w:sz w:val="21"/>
          <w:szCs w:val="21"/>
        </w:rPr>
      </w:pPr>
    </w:p>
    <w:p w14:paraId="390634C1">
      <w:pPr>
        <w:ind w:firstLine="0" w:firstLineChars="0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drawing>
          <wp:inline distT="0" distB="0" distL="0" distR="0">
            <wp:extent cx="5085715" cy="2320290"/>
            <wp:effectExtent l="0" t="0" r="19685" b="16510"/>
            <wp:docPr id="2" name="图片 51" descr="/Users/yuwenjie/Documents/Traeppp08/报告0829/0908/新建决策web.png新建决策we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1" descr="/Users/yuwenjie/Documents/Traeppp08/报告0829/0908/新建决策web.png新建决策web"/>
                    <pic:cNvPicPr/>
                  </pic:nvPicPr>
                  <pic:blipFill>
                    <a:blip r:embed="rId23"/>
                    <a:srcRect t="3958" b="3958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236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08EE">
      <w:pPr>
        <w:ind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/>
          <w:sz w:val="21"/>
          <w:szCs w:val="21"/>
        </w:rPr>
        <w:t xml:space="preserve"> web端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新建决策</w:t>
      </w:r>
      <w:r>
        <w:rPr>
          <w:rFonts w:hint="eastAsia" w:ascii="宋体" w:hAnsi="宋体" w:eastAsia="宋体"/>
          <w:sz w:val="21"/>
          <w:szCs w:val="21"/>
        </w:rPr>
        <w:t>界面</w:t>
      </w:r>
    </w:p>
    <w:p w14:paraId="239E91FF">
      <w:pPr>
        <w:ind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50D5E5E1">
      <w:pPr>
        <w:ind w:firstLine="0" w:firstLineChars="0"/>
        <w:jc w:val="center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drawing>
          <wp:inline distT="0" distB="0" distL="0" distR="0">
            <wp:extent cx="5173345" cy="2705100"/>
            <wp:effectExtent l="0" t="0" r="8255" b="12700"/>
            <wp:docPr id="4" name="0825-1-ai助手" descr="/Users/yuwenjie/Documents/Traeppp08/报告0829/0908/ai助手web.pngai助手we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825-1-ai助手" descr="/Users/yuwenjie/Documents/Traeppp08/报告0829/0908/ai助手web.pngai助手web"/>
                    <pic:cNvPicPr/>
                  </pic:nvPicPr>
                  <pic:blipFill>
                    <a:blip r:embed="rId24"/>
                    <a:srcRect t="203" b="203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2705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C9EC">
      <w:pPr>
        <w:ind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/>
          <w:sz w:val="21"/>
          <w:szCs w:val="21"/>
        </w:rPr>
        <w:t xml:space="preserve"> web端AI助手</w:t>
      </w:r>
    </w:p>
    <w:p w14:paraId="22AF2CC4">
      <w:pPr>
        <w:pStyle w:val="3"/>
        <w:ind w:firstLine="640" w:firstLineChars="200"/>
        <w:rPr>
          <w:rFonts w:hint="eastAsia"/>
        </w:rPr>
      </w:pPr>
      <w:r>
        <w:t>六、结果验证</w:t>
      </w:r>
    </w:p>
    <w:p w14:paraId="3555205D">
      <w:pPr>
        <w:ind w:firstLine="643"/>
        <w:rPr>
          <w:rFonts w:hint="eastAsia"/>
        </w:rPr>
      </w:pPr>
      <w:r>
        <w:rPr>
          <w:rFonts w:hint="eastAsia"/>
        </w:rPr>
        <w:t>1. 烤房数据库</w:t>
      </w:r>
      <w:r>
        <w:rPr>
          <w:rFonts w:hint="eastAsia"/>
          <w:lang w:eastAsia="zh-CN"/>
        </w:rPr>
        <w:t>。</w:t>
      </w:r>
      <w:r>
        <w:rPr>
          <w:rFonts w:hint="eastAsia"/>
        </w:rPr>
        <w:t>完成了秭归县2442座</w:t>
      </w:r>
      <w:r>
        <w:rPr>
          <w:rFonts w:hint="eastAsia"/>
          <w:lang w:val="en-US" w:eastAsia="zh-CN"/>
        </w:rPr>
        <w:t>全口径烤房</w:t>
      </w:r>
      <w:r>
        <w:rPr>
          <w:rFonts w:hint="eastAsia"/>
        </w:rPr>
        <w:t>信息</w:t>
      </w:r>
      <w:r>
        <w:rPr>
          <w:rFonts w:hint="eastAsia"/>
          <w:lang w:val="en-US" w:eastAsia="zh-CN"/>
        </w:rPr>
        <w:t>入库</w:t>
      </w:r>
      <w:r>
        <w:rPr>
          <w:rFonts w:hint="eastAsia"/>
        </w:rPr>
        <w:t>；数据量比原设计增加近52%，</w:t>
      </w:r>
      <w:r>
        <w:rPr>
          <w:rFonts w:hint="eastAsia"/>
          <w:lang w:val="en-US" w:eastAsia="zh-CN"/>
        </w:rPr>
        <w:t>每座</w:t>
      </w:r>
      <w:r>
        <w:rPr>
          <w:rFonts w:hint="eastAsia"/>
        </w:rPr>
        <w:t>烤房</w:t>
      </w:r>
      <w:r>
        <w:rPr>
          <w:rFonts w:hint="eastAsia"/>
          <w:lang w:val="en-US" w:eastAsia="zh-CN"/>
        </w:rPr>
        <w:t>健康有得分</w:t>
      </w:r>
      <w:r>
        <w:rPr>
          <w:rFonts w:hint="eastAsia"/>
        </w:rPr>
        <w:t>。</w:t>
      </w:r>
    </w:p>
    <w:p w14:paraId="1DC75C5D">
      <w:pPr>
        <w:ind w:firstLine="643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>用户响应时间。</w:t>
      </w:r>
      <w:r>
        <w:rPr>
          <w:rFonts w:hint="eastAsia"/>
        </w:rPr>
        <w:t>16条平台抢修工单记录统计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平均响应时间0.38小时；在线调剂处于试点之中。</w:t>
      </w:r>
    </w:p>
    <w:p w14:paraId="042F27B1">
      <w:pPr>
        <w:ind w:firstLine="643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  <w:lang w:val="en-US" w:eastAsia="zh-CN"/>
        </w:rPr>
        <w:t>问卷满意度。</w:t>
      </w:r>
      <w:r>
        <w:rPr>
          <w:rFonts w:hint="eastAsia"/>
        </w:rPr>
        <w:t>有效</w:t>
      </w:r>
      <w:r>
        <w:rPr>
          <w:rFonts w:hint="eastAsia"/>
          <w:lang w:val="en-US" w:eastAsia="zh-CN"/>
        </w:rPr>
        <w:t>问卷</w:t>
      </w:r>
      <w:r>
        <w:rPr>
          <w:rFonts w:hint="eastAsia"/>
        </w:rPr>
        <w:t>5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1份，</w:t>
      </w:r>
      <w:r>
        <w:rPr>
          <w:rFonts w:hint="eastAsia"/>
          <w:lang w:val="en-US" w:eastAsia="zh-CN"/>
        </w:rPr>
        <w:t>烟农使用烤房</w:t>
      </w:r>
      <w:r>
        <w:rPr>
          <w:rFonts w:hint="eastAsia"/>
        </w:rPr>
        <w:t>综合满意度为96.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%。</w:t>
      </w:r>
    </w:p>
    <w:p w14:paraId="07EB8ADB">
      <w:pPr>
        <w:ind w:firstLine="643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  <w:lang w:val="en-US" w:eastAsia="zh-CN"/>
        </w:rPr>
        <w:t>管家服务架构。合作社组建</w:t>
      </w:r>
      <w:r>
        <w:rPr>
          <w:rFonts w:hint="eastAsia"/>
        </w:rPr>
        <w:t>服务</w:t>
      </w:r>
      <w:r>
        <w:rPr>
          <w:rFonts w:hint="eastAsia"/>
          <w:lang w:val="en-US" w:eastAsia="zh-CN"/>
        </w:rPr>
        <w:t>管家4</w:t>
      </w:r>
      <w:r>
        <w:rPr>
          <w:rFonts w:hint="eastAsia"/>
        </w:rPr>
        <w:t>支，合作社修订《烟叶基础设备管护方案》；行业部门制定《宜昌市烟叶调制设施管护操作规范》。</w:t>
      </w:r>
    </w:p>
    <w:p w14:paraId="7CB3D7D5">
      <w:pPr>
        <w:ind w:firstLine="0" w:firstLineChars="0"/>
        <w:jc w:val="center"/>
      </w:pPr>
      <w:r>
        <w:drawing>
          <wp:inline distT="0" distB="0" distL="114300" distR="114300">
            <wp:extent cx="5238750" cy="2899410"/>
            <wp:effectExtent l="0" t="0" r="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0203">
      <w:pPr>
        <w:ind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/>
          <w:sz w:val="21"/>
          <w:szCs w:val="21"/>
        </w:rPr>
        <w:t xml:space="preserve"> 相关文件截图</w:t>
      </w:r>
    </w:p>
    <w:p w14:paraId="3C95FBD7">
      <w:pPr>
        <w:pStyle w:val="3"/>
        <w:ind w:firstLine="640" w:firstLineChars="200"/>
        <w:rPr>
          <w:rFonts w:hint="eastAsia"/>
        </w:rPr>
      </w:pPr>
      <w:r>
        <w:rPr>
          <w:rFonts w:hint="eastAsia"/>
        </w:rPr>
        <w:t>七、总结评估</w:t>
      </w:r>
    </w:p>
    <w:p w14:paraId="60EB3D45">
      <w:pPr>
        <w:pStyle w:val="4"/>
        <w:ind w:right="280" w:firstLine="640" w:firstLineChars="200"/>
        <w:rPr>
          <w:rFonts w:hint="eastAsia" w:ascii="仿宋_GB2312" w:eastAsia="仿宋_GB2312"/>
          <w:lang w:val="en-US" w:eastAsia="zh-CN"/>
        </w:rPr>
      </w:pPr>
      <w:r>
        <w:rPr>
          <w:rFonts w:hint="eastAsia" w:ascii="仿宋_GB2312" w:eastAsia="仿宋_GB2312"/>
          <w:lang w:val="en-US" w:eastAsia="zh-CN"/>
        </w:rPr>
        <w:t>（一）创新成效</w:t>
      </w:r>
    </w:p>
    <w:p w14:paraId="1C8061DB">
      <w:pPr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 w14:paraId="58727544">
      <w:pPr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 w14:paraId="13D8C5D2">
      <w:pPr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 w14:paraId="3090F03E">
      <w:pPr>
        <w:pStyle w:val="4"/>
        <w:ind w:right="280" w:firstLine="640" w:firstLineChars="200"/>
        <w:rPr>
          <w:rFonts w:hint="eastAsia" w:ascii="仿宋_GB2312" w:eastAsia="仿宋_GB2312"/>
          <w:lang w:val="en-US" w:eastAsia="zh-CN"/>
        </w:rPr>
      </w:pPr>
      <w:r>
        <w:rPr>
          <w:rFonts w:hint="eastAsia" w:ascii="仿宋_GB2312" w:eastAsia="仿宋_GB2312"/>
          <w:lang w:val="en-US" w:eastAsia="zh-CN"/>
        </w:rPr>
        <w:t>（二）应用前景</w:t>
      </w:r>
    </w:p>
    <w:p w14:paraId="435D3664">
      <w:pPr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4817110" cy="2169795"/>
            <wp:effectExtent l="0" t="0" r="2540" b="1905"/>
            <wp:docPr id="11080761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6129" name="图片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278" cy="217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C792F">
      <w:pPr>
        <w:ind w:firstLine="0" w:firstLineChars="0"/>
        <w:jc w:val="center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图13 应用阶段展望</w:t>
      </w:r>
    </w:p>
    <w:p w14:paraId="15C1FEA2">
      <w:pPr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该模式已在宜昌市秭归县烤烟区运行一个烘烤季，核实基础数据和统计口径后，可向其他产县推广。</w:t>
      </w:r>
    </w:p>
    <w:p w14:paraId="4E52384F">
      <w:pPr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 w14:paraId="43471607">
      <w:pPr>
        <w:pStyle w:val="4"/>
        <w:ind w:right="280"/>
        <w:rPr>
          <w:rFonts w:hint="eastAsia" w:ascii="仿宋_GB2312" w:eastAsia="仿宋_GB2312"/>
          <w:lang w:val="en-US" w:eastAsia="zh-CN"/>
        </w:rPr>
      </w:pPr>
      <w:r>
        <w:rPr>
          <w:rFonts w:hint="eastAsia" w:ascii="仿宋_GB2312" w:eastAsia="仿宋_GB2312"/>
          <w:lang w:val="en-US" w:eastAsia="zh-CN"/>
        </w:rPr>
        <w:t>（三）总结及打算</w:t>
      </w:r>
    </w:p>
    <w:p w14:paraId="1924D087">
      <w:pPr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本项目围绕烤房使用、投入和管护全过程，构建基础数据库、两个模型和协同管理平台，推动调剂、抢修、养护、决策等在线协同。</w:t>
      </w:r>
    </w:p>
    <w:p w14:paraId="3460978C">
      <w:pPr>
        <w:ind w:firstLine="643"/>
      </w:pPr>
      <w:r>
        <w:rPr>
          <w:rFonts w:hint="eastAsia"/>
          <w:lang w:val="en-US" w:eastAsia="zh-CN"/>
        </w:rPr>
        <w:t>下一步将持续补充基础数据，优化模型参数，规范合作社管家服务架构和宣传推广，促进质量效率，管理有序、服务高效、运行良</w:t>
      </w:r>
      <w:r>
        <w:t>好。</w:t>
      </w:r>
    </w:p>
    <w:p w14:paraId="6862CDBF">
      <w:pPr>
        <w:ind w:firstLine="643"/>
      </w:pPr>
    </w:p>
    <w:p w14:paraId="60058830">
      <w:pPr>
        <w:ind w:firstLine="643"/>
      </w:pPr>
      <w:bookmarkStart w:id="0" w:name="_GoBack"/>
      <w:bookmarkEnd w:id="0"/>
    </w:p>
    <w:p w14:paraId="472C9549">
      <w:pPr>
        <w:ind w:firstLine="643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2026年9月10日</w:t>
      </w:r>
    </w:p>
    <w:sectPr>
      <w:footerReference r:id="rId11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40"/>
      </w:pPr>
      <w:r>
        <w:separator/>
      </w:r>
    </w:p>
  </w:endnote>
  <w:endnote w:type="continuationSeparator" w:id="1">
    <w:p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楷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仿宋">
    <w:altName w:val="仿宋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2894BF94">
    <w:panose1 w:val="0201060003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5BAD7"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1CF73"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49947">
    <w:pPr>
      <w:pStyle w:val="1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02CBE">
    <w:pPr>
      <w:pStyle w:val="12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13806D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13806D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40"/>
      </w:pPr>
      <w:r>
        <w:separator/>
      </w:r>
    </w:p>
  </w:footnote>
  <w:footnote w:type="continuationSeparator" w:id="1">
    <w:p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79E06">
    <w:pPr>
      <w:pStyle w:val="1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9C15B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73C08">
    <w:pPr>
      <w:pStyle w:val="1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15605B"/>
    <w:multiLevelType w:val="multilevel"/>
    <w:tmpl w:val="3315605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黑体"/>
        <w:b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A51BA0E"/>
    <w:multiLevelType w:val="singleLevel"/>
    <w:tmpl w:val="3A51BA0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F46"/>
    <w:rsid w:val="00004AB1"/>
    <w:rsid w:val="00011721"/>
    <w:rsid w:val="00017DD0"/>
    <w:rsid w:val="00037D0E"/>
    <w:rsid w:val="0007075F"/>
    <w:rsid w:val="0007743F"/>
    <w:rsid w:val="00083B51"/>
    <w:rsid w:val="000A226C"/>
    <w:rsid w:val="000B5769"/>
    <w:rsid w:val="000C22E6"/>
    <w:rsid w:val="000D57CF"/>
    <w:rsid w:val="000F5264"/>
    <w:rsid w:val="00123D98"/>
    <w:rsid w:val="00124E3F"/>
    <w:rsid w:val="00131E2A"/>
    <w:rsid w:val="00143015"/>
    <w:rsid w:val="00160021"/>
    <w:rsid w:val="00166A59"/>
    <w:rsid w:val="001834EC"/>
    <w:rsid w:val="001849DE"/>
    <w:rsid w:val="0018577B"/>
    <w:rsid w:val="001964E7"/>
    <w:rsid w:val="001A5916"/>
    <w:rsid w:val="001A79F2"/>
    <w:rsid w:val="001B08DF"/>
    <w:rsid w:val="001C35F1"/>
    <w:rsid w:val="001C4EDA"/>
    <w:rsid w:val="001D3353"/>
    <w:rsid w:val="00251275"/>
    <w:rsid w:val="002701B5"/>
    <w:rsid w:val="002777CD"/>
    <w:rsid w:val="00287280"/>
    <w:rsid w:val="00294B7F"/>
    <w:rsid w:val="002952CF"/>
    <w:rsid w:val="002A582B"/>
    <w:rsid w:val="002B1757"/>
    <w:rsid w:val="002B493F"/>
    <w:rsid w:val="002E1F6F"/>
    <w:rsid w:val="003051A5"/>
    <w:rsid w:val="0031047A"/>
    <w:rsid w:val="0031103B"/>
    <w:rsid w:val="00312EBF"/>
    <w:rsid w:val="003324C1"/>
    <w:rsid w:val="0037256B"/>
    <w:rsid w:val="00391828"/>
    <w:rsid w:val="003A48A2"/>
    <w:rsid w:val="003D33DE"/>
    <w:rsid w:val="003E3087"/>
    <w:rsid w:val="003F3A4F"/>
    <w:rsid w:val="0041655C"/>
    <w:rsid w:val="004353F9"/>
    <w:rsid w:val="00446F3A"/>
    <w:rsid w:val="004528F7"/>
    <w:rsid w:val="0045520B"/>
    <w:rsid w:val="00465DB3"/>
    <w:rsid w:val="00487AC0"/>
    <w:rsid w:val="00494F52"/>
    <w:rsid w:val="004B3F5E"/>
    <w:rsid w:val="004C47DA"/>
    <w:rsid w:val="004D796D"/>
    <w:rsid w:val="004E3179"/>
    <w:rsid w:val="004F015B"/>
    <w:rsid w:val="004F66D3"/>
    <w:rsid w:val="00500484"/>
    <w:rsid w:val="005030AA"/>
    <w:rsid w:val="00512EF2"/>
    <w:rsid w:val="00537793"/>
    <w:rsid w:val="005957B4"/>
    <w:rsid w:val="005F6023"/>
    <w:rsid w:val="00603FD5"/>
    <w:rsid w:val="00620AEE"/>
    <w:rsid w:val="00630AD7"/>
    <w:rsid w:val="00647CBE"/>
    <w:rsid w:val="0067427F"/>
    <w:rsid w:val="00677A4B"/>
    <w:rsid w:val="006A3C2D"/>
    <w:rsid w:val="006A7A59"/>
    <w:rsid w:val="006C7106"/>
    <w:rsid w:val="007349C1"/>
    <w:rsid w:val="00740DE1"/>
    <w:rsid w:val="00744F30"/>
    <w:rsid w:val="007505F6"/>
    <w:rsid w:val="007564BC"/>
    <w:rsid w:val="00760011"/>
    <w:rsid w:val="0077010D"/>
    <w:rsid w:val="007B33B2"/>
    <w:rsid w:val="007B5E98"/>
    <w:rsid w:val="007D5D71"/>
    <w:rsid w:val="007E3C0F"/>
    <w:rsid w:val="007F70C8"/>
    <w:rsid w:val="00805C55"/>
    <w:rsid w:val="00856D3C"/>
    <w:rsid w:val="00877B7B"/>
    <w:rsid w:val="00885B05"/>
    <w:rsid w:val="008972E8"/>
    <w:rsid w:val="008A3055"/>
    <w:rsid w:val="0090425D"/>
    <w:rsid w:val="00917760"/>
    <w:rsid w:val="009265F2"/>
    <w:rsid w:val="009473CB"/>
    <w:rsid w:val="0095163B"/>
    <w:rsid w:val="0096150F"/>
    <w:rsid w:val="0097182F"/>
    <w:rsid w:val="009736EE"/>
    <w:rsid w:val="009863AB"/>
    <w:rsid w:val="009A3BF8"/>
    <w:rsid w:val="009C01AE"/>
    <w:rsid w:val="009C2FB5"/>
    <w:rsid w:val="00A01D01"/>
    <w:rsid w:val="00A13E67"/>
    <w:rsid w:val="00A25690"/>
    <w:rsid w:val="00A61E0D"/>
    <w:rsid w:val="00A72947"/>
    <w:rsid w:val="00A80181"/>
    <w:rsid w:val="00A84245"/>
    <w:rsid w:val="00AA7D1A"/>
    <w:rsid w:val="00AD6025"/>
    <w:rsid w:val="00AE718F"/>
    <w:rsid w:val="00AF1AAE"/>
    <w:rsid w:val="00B1167C"/>
    <w:rsid w:val="00B254DD"/>
    <w:rsid w:val="00B36358"/>
    <w:rsid w:val="00B4659B"/>
    <w:rsid w:val="00B6705E"/>
    <w:rsid w:val="00B7462D"/>
    <w:rsid w:val="00B80BF2"/>
    <w:rsid w:val="00BA6DDC"/>
    <w:rsid w:val="00BC5E8C"/>
    <w:rsid w:val="00BD7443"/>
    <w:rsid w:val="00BE762E"/>
    <w:rsid w:val="00C4572F"/>
    <w:rsid w:val="00C64C66"/>
    <w:rsid w:val="00CD0D89"/>
    <w:rsid w:val="00CE3F46"/>
    <w:rsid w:val="00CF7B79"/>
    <w:rsid w:val="00D12AA6"/>
    <w:rsid w:val="00D33107"/>
    <w:rsid w:val="00D37E7F"/>
    <w:rsid w:val="00D424F0"/>
    <w:rsid w:val="00D54C10"/>
    <w:rsid w:val="00D818F1"/>
    <w:rsid w:val="00DB552E"/>
    <w:rsid w:val="00DC697E"/>
    <w:rsid w:val="00DD69E1"/>
    <w:rsid w:val="00DF6FB4"/>
    <w:rsid w:val="00E01105"/>
    <w:rsid w:val="00E206F6"/>
    <w:rsid w:val="00E302E5"/>
    <w:rsid w:val="00E4133B"/>
    <w:rsid w:val="00E51418"/>
    <w:rsid w:val="00E62331"/>
    <w:rsid w:val="00EA1B32"/>
    <w:rsid w:val="00EB2C34"/>
    <w:rsid w:val="00EB2D2A"/>
    <w:rsid w:val="00F27966"/>
    <w:rsid w:val="00F574C5"/>
    <w:rsid w:val="00F67455"/>
    <w:rsid w:val="00F821B9"/>
    <w:rsid w:val="00F84199"/>
    <w:rsid w:val="00FE2875"/>
    <w:rsid w:val="00FF07DB"/>
    <w:rsid w:val="011F34AD"/>
    <w:rsid w:val="01CD2B81"/>
    <w:rsid w:val="02901091"/>
    <w:rsid w:val="02983EA6"/>
    <w:rsid w:val="02B96468"/>
    <w:rsid w:val="039A65F4"/>
    <w:rsid w:val="04CB5FDF"/>
    <w:rsid w:val="04FE63B4"/>
    <w:rsid w:val="053A6B76"/>
    <w:rsid w:val="059341B1"/>
    <w:rsid w:val="05D27519"/>
    <w:rsid w:val="06466906"/>
    <w:rsid w:val="067646AB"/>
    <w:rsid w:val="06C024BD"/>
    <w:rsid w:val="06CF0454"/>
    <w:rsid w:val="06D0297F"/>
    <w:rsid w:val="072D508B"/>
    <w:rsid w:val="082B1C77"/>
    <w:rsid w:val="086A76ED"/>
    <w:rsid w:val="08745108"/>
    <w:rsid w:val="0888678D"/>
    <w:rsid w:val="090624B6"/>
    <w:rsid w:val="092B523F"/>
    <w:rsid w:val="093B0A01"/>
    <w:rsid w:val="09444942"/>
    <w:rsid w:val="096351F6"/>
    <w:rsid w:val="09967C70"/>
    <w:rsid w:val="0A1B1122"/>
    <w:rsid w:val="0A4C20FB"/>
    <w:rsid w:val="0A9D77AC"/>
    <w:rsid w:val="0AE0732E"/>
    <w:rsid w:val="0BAE2DFD"/>
    <w:rsid w:val="0C28597F"/>
    <w:rsid w:val="0D082A6E"/>
    <w:rsid w:val="0D872355"/>
    <w:rsid w:val="0E1221CD"/>
    <w:rsid w:val="0E5E6115"/>
    <w:rsid w:val="0EBF519B"/>
    <w:rsid w:val="0EDB3F13"/>
    <w:rsid w:val="0F830C23"/>
    <w:rsid w:val="0FBB0783"/>
    <w:rsid w:val="0FC552B4"/>
    <w:rsid w:val="103E7FAD"/>
    <w:rsid w:val="10C706C2"/>
    <w:rsid w:val="11D70154"/>
    <w:rsid w:val="120963A4"/>
    <w:rsid w:val="122D527E"/>
    <w:rsid w:val="12411258"/>
    <w:rsid w:val="12691DDE"/>
    <w:rsid w:val="12712F12"/>
    <w:rsid w:val="132541A5"/>
    <w:rsid w:val="132D4308"/>
    <w:rsid w:val="13404ED0"/>
    <w:rsid w:val="13671B64"/>
    <w:rsid w:val="13FD7AD9"/>
    <w:rsid w:val="14142F81"/>
    <w:rsid w:val="14C15298"/>
    <w:rsid w:val="15472079"/>
    <w:rsid w:val="16E93262"/>
    <w:rsid w:val="17307021"/>
    <w:rsid w:val="174B01C5"/>
    <w:rsid w:val="17596D21"/>
    <w:rsid w:val="17A5332C"/>
    <w:rsid w:val="1833416F"/>
    <w:rsid w:val="18A05273"/>
    <w:rsid w:val="18A94568"/>
    <w:rsid w:val="19422A47"/>
    <w:rsid w:val="19DB5A34"/>
    <w:rsid w:val="1AE73302"/>
    <w:rsid w:val="1B6119AB"/>
    <w:rsid w:val="1B8B3B2B"/>
    <w:rsid w:val="1BFE19D6"/>
    <w:rsid w:val="1C197E29"/>
    <w:rsid w:val="1CB71AC5"/>
    <w:rsid w:val="1D11777D"/>
    <w:rsid w:val="1D5474FE"/>
    <w:rsid w:val="1D6F71BC"/>
    <w:rsid w:val="1E432C32"/>
    <w:rsid w:val="1E6366E9"/>
    <w:rsid w:val="1E7F0598"/>
    <w:rsid w:val="1F0B0D3E"/>
    <w:rsid w:val="1F631853"/>
    <w:rsid w:val="1F675792"/>
    <w:rsid w:val="201E1DBC"/>
    <w:rsid w:val="208E288A"/>
    <w:rsid w:val="20FD2D5C"/>
    <w:rsid w:val="210821C0"/>
    <w:rsid w:val="214445A3"/>
    <w:rsid w:val="216925DC"/>
    <w:rsid w:val="21A732B2"/>
    <w:rsid w:val="225B4E09"/>
    <w:rsid w:val="227C4964"/>
    <w:rsid w:val="2364500D"/>
    <w:rsid w:val="23847F75"/>
    <w:rsid w:val="24043E00"/>
    <w:rsid w:val="24724271"/>
    <w:rsid w:val="247D0283"/>
    <w:rsid w:val="24D86D93"/>
    <w:rsid w:val="24F41CE7"/>
    <w:rsid w:val="250215C6"/>
    <w:rsid w:val="250550E5"/>
    <w:rsid w:val="26D62895"/>
    <w:rsid w:val="276C6D8F"/>
    <w:rsid w:val="27EB411D"/>
    <w:rsid w:val="28B1694E"/>
    <w:rsid w:val="28CF1781"/>
    <w:rsid w:val="29013255"/>
    <w:rsid w:val="291161A5"/>
    <w:rsid w:val="29430F3E"/>
    <w:rsid w:val="2A314AEB"/>
    <w:rsid w:val="2A482426"/>
    <w:rsid w:val="2AA50EFC"/>
    <w:rsid w:val="2AB4611E"/>
    <w:rsid w:val="2B317C0A"/>
    <w:rsid w:val="2B557494"/>
    <w:rsid w:val="2BD36576"/>
    <w:rsid w:val="2BEF2623"/>
    <w:rsid w:val="2C2363E6"/>
    <w:rsid w:val="2C980689"/>
    <w:rsid w:val="2D300A31"/>
    <w:rsid w:val="2D4B534E"/>
    <w:rsid w:val="2D832A39"/>
    <w:rsid w:val="2D9349BD"/>
    <w:rsid w:val="2DB7F57A"/>
    <w:rsid w:val="2E1548EF"/>
    <w:rsid w:val="2E166CE2"/>
    <w:rsid w:val="2E7632C6"/>
    <w:rsid w:val="2E7FE09C"/>
    <w:rsid w:val="2EF79308"/>
    <w:rsid w:val="2F86309A"/>
    <w:rsid w:val="2FCF355F"/>
    <w:rsid w:val="2FD71C09"/>
    <w:rsid w:val="306A5204"/>
    <w:rsid w:val="30B73737"/>
    <w:rsid w:val="30BB3500"/>
    <w:rsid w:val="30E94DA9"/>
    <w:rsid w:val="31DB1BFC"/>
    <w:rsid w:val="32FF16C6"/>
    <w:rsid w:val="3306047F"/>
    <w:rsid w:val="332C4D32"/>
    <w:rsid w:val="33543E57"/>
    <w:rsid w:val="33A53035"/>
    <w:rsid w:val="33E85CBD"/>
    <w:rsid w:val="344D6161"/>
    <w:rsid w:val="34930017"/>
    <w:rsid w:val="355E0C9B"/>
    <w:rsid w:val="36104342"/>
    <w:rsid w:val="36374201"/>
    <w:rsid w:val="36AE3FF5"/>
    <w:rsid w:val="370C40B1"/>
    <w:rsid w:val="37B93079"/>
    <w:rsid w:val="37F741E2"/>
    <w:rsid w:val="37FF5D6B"/>
    <w:rsid w:val="38B6612D"/>
    <w:rsid w:val="38E70267"/>
    <w:rsid w:val="38FC755E"/>
    <w:rsid w:val="395F00FB"/>
    <w:rsid w:val="39980B33"/>
    <w:rsid w:val="3A3E4A76"/>
    <w:rsid w:val="3A5804C9"/>
    <w:rsid w:val="3AD78219"/>
    <w:rsid w:val="3AF06778"/>
    <w:rsid w:val="3B8C0F32"/>
    <w:rsid w:val="3BBF9A45"/>
    <w:rsid w:val="3BFBF39E"/>
    <w:rsid w:val="3C2D38FE"/>
    <w:rsid w:val="3CA56B3A"/>
    <w:rsid w:val="3CF87027"/>
    <w:rsid w:val="3CFE039D"/>
    <w:rsid w:val="3D8E5A8D"/>
    <w:rsid w:val="3F6821D1"/>
    <w:rsid w:val="3FE80BAB"/>
    <w:rsid w:val="40B14030"/>
    <w:rsid w:val="41021E28"/>
    <w:rsid w:val="41183CE8"/>
    <w:rsid w:val="4157154C"/>
    <w:rsid w:val="419453CF"/>
    <w:rsid w:val="42C50218"/>
    <w:rsid w:val="431C167A"/>
    <w:rsid w:val="43683470"/>
    <w:rsid w:val="44E36014"/>
    <w:rsid w:val="450D1720"/>
    <w:rsid w:val="458F3751"/>
    <w:rsid w:val="460B63D3"/>
    <w:rsid w:val="46A55C75"/>
    <w:rsid w:val="46CC76DC"/>
    <w:rsid w:val="46F9B532"/>
    <w:rsid w:val="47262F6D"/>
    <w:rsid w:val="475950F1"/>
    <w:rsid w:val="478D1745"/>
    <w:rsid w:val="488F0FA9"/>
    <w:rsid w:val="4A0D13D8"/>
    <w:rsid w:val="4A383984"/>
    <w:rsid w:val="4A5751EC"/>
    <w:rsid w:val="4AA44350"/>
    <w:rsid w:val="4ACA61F8"/>
    <w:rsid w:val="4B0051C2"/>
    <w:rsid w:val="4B6F6704"/>
    <w:rsid w:val="4B9C55AC"/>
    <w:rsid w:val="4BB07A82"/>
    <w:rsid w:val="4BC79BC7"/>
    <w:rsid w:val="4C2E5DC0"/>
    <w:rsid w:val="4C3B3017"/>
    <w:rsid w:val="4C6C01FE"/>
    <w:rsid w:val="4CD32F17"/>
    <w:rsid w:val="4CE8043B"/>
    <w:rsid w:val="4D811DB6"/>
    <w:rsid w:val="4D895026"/>
    <w:rsid w:val="4D967B46"/>
    <w:rsid w:val="4DBB2F63"/>
    <w:rsid w:val="4E7D7917"/>
    <w:rsid w:val="4E9F478C"/>
    <w:rsid w:val="4ECD6554"/>
    <w:rsid w:val="4F5FACBA"/>
    <w:rsid w:val="4F9D7AB3"/>
    <w:rsid w:val="501D4488"/>
    <w:rsid w:val="50A33062"/>
    <w:rsid w:val="50B6517B"/>
    <w:rsid w:val="510746C6"/>
    <w:rsid w:val="513B2C5D"/>
    <w:rsid w:val="51CF7E46"/>
    <w:rsid w:val="522A0567"/>
    <w:rsid w:val="5285086E"/>
    <w:rsid w:val="52AA244F"/>
    <w:rsid w:val="52EA30A1"/>
    <w:rsid w:val="5313553A"/>
    <w:rsid w:val="536227DB"/>
    <w:rsid w:val="53653760"/>
    <w:rsid w:val="53B2046E"/>
    <w:rsid w:val="548D5831"/>
    <w:rsid w:val="54D810E8"/>
    <w:rsid w:val="55567512"/>
    <w:rsid w:val="55A364A7"/>
    <w:rsid w:val="55A75279"/>
    <w:rsid w:val="56440315"/>
    <w:rsid w:val="564B20A8"/>
    <w:rsid w:val="56683747"/>
    <w:rsid w:val="57342B3C"/>
    <w:rsid w:val="57645F73"/>
    <w:rsid w:val="57F26D57"/>
    <w:rsid w:val="59165B2A"/>
    <w:rsid w:val="59704FCA"/>
    <w:rsid w:val="5978B5DF"/>
    <w:rsid w:val="59BF05CC"/>
    <w:rsid w:val="5AA31119"/>
    <w:rsid w:val="5ABE28B2"/>
    <w:rsid w:val="5B9F4D74"/>
    <w:rsid w:val="5C030087"/>
    <w:rsid w:val="5C174D63"/>
    <w:rsid w:val="5C2A0EF0"/>
    <w:rsid w:val="5C2F5CF5"/>
    <w:rsid w:val="5C4B69FC"/>
    <w:rsid w:val="5CA15DB5"/>
    <w:rsid w:val="5D082632"/>
    <w:rsid w:val="5D144222"/>
    <w:rsid w:val="5D463BF1"/>
    <w:rsid w:val="5D6D42EB"/>
    <w:rsid w:val="5D77F4A0"/>
    <w:rsid w:val="5DF37AD1"/>
    <w:rsid w:val="5E356269"/>
    <w:rsid w:val="5F130119"/>
    <w:rsid w:val="5F403F51"/>
    <w:rsid w:val="5F7679C4"/>
    <w:rsid w:val="5FCFF7D2"/>
    <w:rsid w:val="5FDA449D"/>
    <w:rsid w:val="5FE99E20"/>
    <w:rsid w:val="60605BAC"/>
    <w:rsid w:val="6137458B"/>
    <w:rsid w:val="616F4E9B"/>
    <w:rsid w:val="61DE18A1"/>
    <w:rsid w:val="61E60EAB"/>
    <w:rsid w:val="61F47A98"/>
    <w:rsid w:val="6298479C"/>
    <w:rsid w:val="62E33669"/>
    <w:rsid w:val="632C14B3"/>
    <w:rsid w:val="635D75DE"/>
    <w:rsid w:val="63B85814"/>
    <w:rsid w:val="64A476B3"/>
    <w:rsid w:val="64EB708F"/>
    <w:rsid w:val="65662279"/>
    <w:rsid w:val="657DF5C0"/>
    <w:rsid w:val="658713A2"/>
    <w:rsid w:val="659550EE"/>
    <w:rsid w:val="65A521CF"/>
    <w:rsid w:val="65CB5DE2"/>
    <w:rsid w:val="6640264D"/>
    <w:rsid w:val="665C5C0C"/>
    <w:rsid w:val="6670131F"/>
    <w:rsid w:val="66F0347B"/>
    <w:rsid w:val="672D1C7D"/>
    <w:rsid w:val="67E81E4D"/>
    <w:rsid w:val="680074AC"/>
    <w:rsid w:val="6823620F"/>
    <w:rsid w:val="682D4F2C"/>
    <w:rsid w:val="682D7DA0"/>
    <w:rsid w:val="68483124"/>
    <w:rsid w:val="68856135"/>
    <w:rsid w:val="68976726"/>
    <w:rsid w:val="68E90C63"/>
    <w:rsid w:val="69AB74E8"/>
    <w:rsid w:val="6A326A99"/>
    <w:rsid w:val="6A923EC9"/>
    <w:rsid w:val="6A9242F2"/>
    <w:rsid w:val="6B104D22"/>
    <w:rsid w:val="6B5C2197"/>
    <w:rsid w:val="6C1D4D6E"/>
    <w:rsid w:val="6CBE48F7"/>
    <w:rsid w:val="6CCA070A"/>
    <w:rsid w:val="6CD23598"/>
    <w:rsid w:val="6D601FA8"/>
    <w:rsid w:val="6DAA57FA"/>
    <w:rsid w:val="6E7603C5"/>
    <w:rsid w:val="6EE36ECA"/>
    <w:rsid w:val="6F511916"/>
    <w:rsid w:val="6F567302"/>
    <w:rsid w:val="6FFF2D17"/>
    <w:rsid w:val="70383246"/>
    <w:rsid w:val="708B58B2"/>
    <w:rsid w:val="71081111"/>
    <w:rsid w:val="71096180"/>
    <w:rsid w:val="714A1495"/>
    <w:rsid w:val="714F68F5"/>
    <w:rsid w:val="71A16BC9"/>
    <w:rsid w:val="724F0B05"/>
    <w:rsid w:val="730339A7"/>
    <w:rsid w:val="74620B0D"/>
    <w:rsid w:val="749738A7"/>
    <w:rsid w:val="749F02E6"/>
    <w:rsid w:val="74C701A5"/>
    <w:rsid w:val="74F932EC"/>
    <w:rsid w:val="752C594B"/>
    <w:rsid w:val="75CE2F56"/>
    <w:rsid w:val="75D7F5A5"/>
    <w:rsid w:val="75F679F7"/>
    <w:rsid w:val="76042D01"/>
    <w:rsid w:val="762558EE"/>
    <w:rsid w:val="762848E9"/>
    <w:rsid w:val="763117F4"/>
    <w:rsid w:val="76771FCD"/>
    <w:rsid w:val="767E7F4D"/>
    <w:rsid w:val="768618DD"/>
    <w:rsid w:val="76C515AB"/>
    <w:rsid w:val="7744529E"/>
    <w:rsid w:val="778B7655"/>
    <w:rsid w:val="77DF68D8"/>
    <w:rsid w:val="77FD9C7A"/>
    <w:rsid w:val="7812701B"/>
    <w:rsid w:val="788159C2"/>
    <w:rsid w:val="78C3659F"/>
    <w:rsid w:val="796F7BC9"/>
    <w:rsid w:val="79F3212E"/>
    <w:rsid w:val="7A2F2206"/>
    <w:rsid w:val="7A307301"/>
    <w:rsid w:val="7B620780"/>
    <w:rsid w:val="7B7C6624"/>
    <w:rsid w:val="7BFB8602"/>
    <w:rsid w:val="7BFF6BFE"/>
    <w:rsid w:val="7C1D2576"/>
    <w:rsid w:val="7C1E43FE"/>
    <w:rsid w:val="7C4C127B"/>
    <w:rsid w:val="7D1E188C"/>
    <w:rsid w:val="7D6FAB77"/>
    <w:rsid w:val="7D852E5E"/>
    <w:rsid w:val="7DDD22AC"/>
    <w:rsid w:val="7E0B59D9"/>
    <w:rsid w:val="7EA3C230"/>
    <w:rsid w:val="7EBB4FB2"/>
    <w:rsid w:val="7ECE3519"/>
    <w:rsid w:val="7EE97F06"/>
    <w:rsid w:val="7F7C6B34"/>
    <w:rsid w:val="7F9F0943"/>
    <w:rsid w:val="7FDA46EF"/>
    <w:rsid w:val="7FF75CDE"/>
    <w:rsid w:val="93DE9EE4"/>
    <w:rsid w:val="BB6F4753"/>
    <w:rsid w:val="BBF561E7"/>
    <w:rsid w:val="BDFE3412"/>
    <w:rsid w:val="BDFF3C5F"/>
    <w:rsid w:val="BFDF06C1"/>
    <w:rsid w:val="D3D2A862"/>
    <w:rsid w:val="D83EA885"/>
    <w:rsid w:val="DF7EFA8B"/>
    <w:rsid w:val="DF833A0F"/>
    <w:rsid w:val="DF9D9824"/>
    <w:rsid w:val="DFFA4109"/>
    <w:rsid w:val="DFFEF8FC"/>
    <w:rsid w:val="E3EF8C85"/>
    <w:rsid w:val="E6F74821"/>
    <w:rsid w:val="EDFF7A71"/>
    <w:rsid w:val="F599FA39"/>
    <w:rsid w:val="F8F7B250"/>
    <w:rsid w:val="F95F2B59"/>
    <w:rsid w:val="FAC69B12"/>
    <w:rsid w:val="FFEB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仿宋_GB2312" w:cstheme="minorBidi"/>
      <w:kern w:val="2"/>
      <w:sz w:val="3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ind w:firstLine="0" w:firstLineChars="0"/>
      <w:outlineLvl w:val="1"/>
    </w:pPr>
    <w:rPr>
      <w:rFonts w:eastAsia="黑体" w:asciiTheme="majorHAnsi" w:hAnsiTheme="majorHAnsi" w:cstheme="majorBidi"/>
      <w:szCs w:val="40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ind w:firstLine="0" w:firstLineChars="0"/>
      <w:outlineLvl w:val="2"/>
    </w:pPr>
    <w:rPr>
      <w:rFonts w:eastAsia="黑体" w:asciiTheme="majorHAnsi" w:hAnsiTheme="majorHAnsi" w:cstheme="majorBidi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80" w:after="40"/>
      <w:ind w:firstLine="0" w:firstLineChars="0"/>
      <w:outlineLvl w:val="3"/>
    </w:pPr>
    <w:rPr>
      <w:rFonts w:cstheme="majorBidi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2"/>
    <w:unhideWhenUsed/>
    <w:qFormat/>
    <w:uiPriority w:val="99"/>
    <w:pPr>
      <w:jc w:val="left"/>
    </w:pPr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annotation subject"/>
    <w:basedOn w:val="11"/>
    <w:next w:val="11"/>
    <w:link w:val="43"/>
    <w:semiHidden/>
    <w:unhideWhenUsed/>
    <w:qFormat/>
    <w:uiPriority w:val="99"/>
    <w:rPr>
      <w:b/>
      <w:bCs/>
    </w:rPr>
  </w:style>
  <w:style w:type="table" w:styleId="18">
    <w:name w:val="Table Grid"/>
    <w:basedOn w:val="1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2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19"/>
    <w:link w:val="3"/>
    <w:qFormat/>
    <w:uiPriority w:val="9"/>
    <w:rPr>
      <w:rFonts w:eastAsia="黑体" w:asciiTheme="majorHAnsi" w:hAnsiTheme="majorHAnsi" w:cstheme="majorBidi"/>
      <w:sz w:val="32"/>
      <w:szCs w:val="40"/>
    </w:rPr>
  </w:style>
  <w:style w:type="character" w:customStyle="1" w:styleId="24">
    <w:name w:val="标题 3 字符"/>
    <w:basedOn w:val="19"/>
    <w:link w:val="4"/>
    <w:qFormat/>
    <w:uiPriority w:val="9"/>
    <w:rPr>
      <w:rFonts w:eastAsia="黑体" w:asciiTheme="majorHAnsi" w:hAnsiTheme="majorHAnsi" w:cstheme="majorBidi"/>
      <w:sz w:val="28"/>
      <w:szCs w:val="32"/>
    </w:rPr>
  </w:style>
  <w:style w:type="character" w:customStyle="1" w:styleId="25">
    <w:name w:val="标题 4 字符"/>
    <w:basedOn w:val="19"/>
    <w:link w:val="5"/>
    <w:qFormat/>
    <w:uiPriority w:val="9"/>
    <w:rPr>
      <w:rFonts w:eastAsia="宋体" w:cstheme="majorBidi"/>
      <w:sz w:val="28"/>
      <w:szCs w:val="28"/>
    </w:rPr>
  </w:style>
  <w:style w:type="character" w:customStyle="1" w:styleId="26">
    <w:name w:val="标题 5 字符"/>
    <w:basedOn w:val="19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7">
    <w:name w:val="标题 6 字符"/>
    <w:basedOn w:val="19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19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19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19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41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42">
    <w:name w:val="批注文字 字符"/>
    <w:basedOn w:val="19"/>
    <w:link w:val="11"/>
    <w:qFormat/>
    <w:uiPriority w:val="99"/>
    <w:rPr>
      <w:rFonts w:eastAsia="宋体"/>
      <w:sz w:val="28"/>
    </w:rPr>
  </w:style>
  <w:style w:type="character" w:customStyle="1" w:styleId="43">
    <w:name w:val="批注主题 字符"/>
    <w:basedOn w:val="42"/>
    <w:link w:val="16"/>
    <w:semiHidden/>
    <w:qFormat/>
    <w:uiPriority w:val="99"/>
    <w:rPr>
      <w:rFonts w:eastAsia="宋体"/>
      <w:b/>
      <w:bCs/>
      <w:sz w:val="28"/>
    </w:rPr>
  </w:style>
  <w:style w:type="paragraph" w:customStyle="1" w:styleId="44">
    <w:name w:val="Revision"/>
    <w:hidden/>
    <w:unhideWhenUsed/>
    <w:qFormat/>
    <w:uiPriority w:val="99"/>
    <w:rPr>
      <w:rFonts w:ascii="Times New Roman" w:hAnsi="Times New Roman" w:eastAsia="宋体" w:cstheme="minorBidi"/>
      <w:kern w:val="2"/>
      <w:sz w:val="28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jpeg"/><Relationship Id="rId20" Type="http://schemas.openxmlformats.org/officeDocument/2006/relationships/image" Target="media/image8.jpeg"/><Relationship Id="rId2" Type="http://schemas.openxmlformats.org/officeDocument/2006/relationships/settings" Target="settings.xml"/><Relationship Id="rId19" Type="http://schemas.openxmlformats.org/officeDocument/2006/relationships/image" Target="media/image7.jpe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1893</Words>
  <Characters>1963</Characters>
  <Lines>43</Lines>
  <Paragraphs>12</Paragraphs>
  <TotalTime>1</TotalTime>
  <ScaleCrop>false</ScaleCrop>
  <LinksUpToDate>false</LinksUpToDate>
  <CharactersWithSpaces>2111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2026-09-08T05:15:00Z</dcterms:created>
  <dc:creator>be Hu</dc:creator>
  <cp:lastModifiedBy>太阳神</cp:lastModifiedBy>
  <dcterms:modified xsi:type="dcterms:W3CDTF">2026-09-10T02:08:06Z</dcterms:modified>
  <cp:revision>199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680393ADDDF94E23B21ACCA092385C01_12</vt:lpwstr>
  </property>
</Properties>
</file>