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智烤管家</w:t>
      </w:r>
    </w:p>
    <w:p>
      <w:pPr>
        <w:jc w:val="center"/>
      </w:pPr>
      <w:r>
        <w:rPr>
          <w:i/>
          <w:color w:val="5E6D78"/>
          <w:sz w:val="18"/>
        </w:rPr>
        <w:t>修改意见归并与逐项落实 · 原始材料与修改策略</w:t>
      </w:r>
    </w:p>
    <w:p>
      <w:pPr>
        <w:pStyle w:val="Heading1"/>
      </w:pPr>
      <w:r>
        <w:t>一、三条总原则</w:t>
      </w:r>
    </w:p>
    <w:p>
      <w:pPr>
        <w:ind w:firstLine="408"/>
      </w:pPr>
      <w:r>
        <w:rPr>
          <w:b w:val="0"/>
        </w:rPr>
        <w:t>先抛出“调不动、修不快、投不准”三个结论，再用“烟农、合作社、管理部门”的画面分别解释，避免让外行先听一堆业务名词。</w:t>
      </w:r>
    </w:p>
    <w:p>
      <w:pPr>
        <w:ind w:firstLine="408"/>
      </w:pPr>
      <w:r>
        <w:rPr>
          <w:b w:val="0"/>
        </w:rPr>
        <w:t>“采数—析数—用数”是流程关系，不是模块罗列；模型一和模型二是旧房评估与新建布局的接力关系；三智是把模型的判断用在实际业务上的落地关系。</w:t>
      </w:r>
    </w:p>
    <w:p>
      <w:pPr>
        <w:ind w:firstLine="408"/>
      </w:pPr>
      <w:r>
        <w:rPr>
          <w:b w:val="0"/>
        </w:rPr>
        <w:t>保留两个模型的完整步骤和专业术语，在术语后立即解释“为什么这么算、算完交给谁、能做什么”，不因通俗而牺牲专业含量。</w:t>
      </w:r>
    </w:p>
    <w:p>
      <w:pPr>
        <w:pStyle w:val="Heading1"/>
      </w:pPr>
      <w:r>
        <w:t>二、来源意见逐项合并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材料</w:t>
            </w:r>
          </w:p>
        </w:tc>
        <w:tc>
          <w:tcPr>
            <w:tcW w:type="dxa" w:w="3192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主要意见/可借鉴内容</w:t>
            </w:r>
          </w:p>
        </w:tc>
        <w:tc>
          <w:tcPr>
            <w:tcW w:type="dxa" w:w="3192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在新稿中的处理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董修改意见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突出123；模型强调重点部位排序；智投“修哪个部位/在哪个村建/投入多少”；智管“谁来管、钱从哪来、做到哪去”；四队融进智管。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正文只讲123，四队放在智管；两模输出与三智决策一一对应。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陈修改意见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开场点题不突兀；一库需讲基层减负与动态更新；从数据到模型为何自然；别再重复录入；模型精简，3智扩展；口径更新应核对。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开头先三问题后场景；1库扫码复用台账；模型直接调取数据；强化三智具体操作和回库；只采用有来源的区域数字。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轴修改意见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“一边烤房空着，一边烟叶排队”形象；小程序可借鉴“找空位”叙述；以数字运营形成烟农、合作社、管理方协同。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吸收故事、主体和语言节奏；不照搬“智用—智管—智投”再讲模型的顺序，仍按原稿先2模后3智。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1022修改建议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先报三问题；视频后引出场景；强调旧台账关联验证和基层减负；3智具体；过渡生动，单人独讲。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将三问题安排为首段主题句；红字功能各归入1库、三智对应场景，不单列功能清单。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9.30旧稿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保留“资源无统筹、投入无量化、管护无闭环”；模型专业依据；四队和专项基金；一定的成果例证。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继承表述和证据，不机械复制夸张承诺；核对“数字、范围、时间”再作结论。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10.20修改底稿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保持“1库→2模→3智”的主线与模型“三步/四步”结构。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原稿技术骨架不变；单人化删除AB问答，改成紧扣业务难题的自然问句。</w:t>
            </w:r>
          </w:p>
        </w:tc>
      </w:tr>
    </w:tbl>
    <w:p>
      <w:pPr>
        <w:pStyle w:val="Heading1"/>
      </w:pPr>
      <w:r>
        <w:t>三、思维导图中的补充功能如何融入黑字主线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内容归位</w:t>
            </w:r>
          </w:p>
        </w:tc>
        <w:tc>
          <w:tcPr>
            <w:tcW w:type="dxa" w:w="3192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不宜堆砌的功能细项</w:t>
            </w:r>
          </w:p>
        </w:tc>
        <w:tc>
          <w:tcPr>
            <w:tcW w:type="dxa" w:w="3192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建议的口播句型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1库/采数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22个应用、6类报表；编码后几位/扫码；四类部件18部位；状态三分类；历史表格导入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旧表格先导入；到了现场扫编码、核照片、打状态，少填一遍表；一房一档随业务更新。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两模/析数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AHP、威布尔；健康分/寿命/风险TOP3；Q与D；组合赋权、TOPSIS、沙盘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每个术语只讲一次，并紧跟输出：重点查哪里、旧房还能用多少、新房建在哪里。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智用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种植档案、烘烤记录、推荐预约、一键报修、进度、评价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先说烟农如何找房，再讲出故障时如何办，最后说烤完如何评。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智投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维修资金择优、部件寿命价格比较、村级供需、地图方案模拟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用“修谁、换什么、建哪里”三问贯通两模，不把模拟当成实际审批结果。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智管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派单、接单、验收、回写、四队、制度、基金、FineBI/AI</w:t>
            </w:r>
          </w:p>
        </w:tc>
        <w:tc>
          <w:tcPr>
            <w:tcW w:type="dxa" w:w="3192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谁接活—谁干活—谁验收—钱怎么保障—信息怎么回库，一句话一环。</w:t>
            </w:r>
          </w:p>
        </w:tc>
      </w:tr>
    </w:tbl>
    <w:p>
      <w:pPr>
        <w:pStyle w:val="Heading1"/>
      </w:pPr>
      <w:r>
        <w:t>四、仍待最终业务核验的口径</w:t>
      </w:r>
    </w:p>
    <w:p>
      <w:pPr>
        <w:ind w:firstLine="408"/>
      </w:pPr>
      <w:r>
        <w:rPr>
          <w:b w:val="0"/>
        </w:rPr>
        <w:t>“150栋核心设备升级”：10.20底稿写“完成”，9.30写“纳入投入计划”。新稿统一保守为“为升级安排提供辅助依据”，正式上台前以验收文件为准。</w:t>
      </w:r>
    </w:p>
    <w:p>
      <w:pPr>
        <w:ind w:firstLine="408"/>
      </w:pPr>
      <w:r>
        <w:rPr>
          <w:b w:val="0"/>
        </w:rPr>
        <w:t>“48次调剂”：不能直接等同于48次线上自主预约；“18次报修处置”和“16条平台抢修工单”不是同一个统计口径。</w:t>
      </w:r>
    </w:p>
    <w:p>
      <w:pPr>
        <w:ind w:firstLine="408"/>
      </w:pPr>
      <w:r>
        <w:rPr>
          <w:b w:val="0"/>
        </w:rPr>
        <w:t>满意度95.8%与其他版本96.8%可能不一致，暂未写入主稿。</w:t>
      </w:r>
    </w:p>
    <w:p>
      <w:pPr>
        <w:ind w:firstLine="408"/>
      </w:pPr>
      <w:r>
        <w:rPr>
          <w:b w:val="0"/>
        </w:rPr>
        <w:t>“秭归2442座”属于县域试点口径，未获得已核验全市总量，不擅自修改为全市建档。</w:t>
      </w:r>
    </w:p>
    <w:p>
      <w:pPr>
        <w:ind w:firstLine="408"/>
      </w:pPr>
      <w:r>
        <w:rPr>
          <w:b w:val="0"/>
        </w:rPr>
        <w:t>赛事《2026年创客大赛要求.doc》为旧版二进制DOC，尚未完成全文逐条解析；仅根据用户明确的8分钟总时长约束安排，不能自称完成赛事全部条款核验。</w:t>
      </w:r>
    </w:p>
    <w:sectPr w:rsidR="00FC693F" w:rsidRPr="0006063C" w:rsidSect="00034616">
      <w:footerReference w:type="default" r:id="rId9"/>
      <w:pgSz w:w="12240" w:h="15840"/>
      <w:pgMar w:top="1191" w:right="1332" w:bottom="1049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智烤管家  ·  湖北省烟草创客大赛决赛  ·  10222230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1" w:lineRule="auto"/>
    </w:pPr>
    <w:rPr>
      <w:rFonts w:ascii="宋体" w:hAnsi="宋体" w:eastAsia="宋体"/>
      <w:color w:val="13395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6BA4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6BA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6BA4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