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大数据算法赋能烤房智享智投全链条解决方案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一、项目核心痛点（基层真实堵点）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结合秭归县烤房</w:t>
      </w:r>
      <w:r>
        <w:rPr>
          <w:rFonts w:eastAsia="等线" w:ascii="Arial" w:cs="Arial" w:hAnsi="Arial"/>
          <w:b w:val="true"/>
          <w:sz w:val="22"/>
        </w:rPr>
        <w:t>2422 座存量设备全容量排查</w:t>
      </w:r>
      <w:r>
        <w:rPr>
          <w:rFonts w:eastAsia="等线" w:ascii="Arial" w:cs="Arial" w:hAnsi="Arial"/>
          <w:sz w:val="22"/>
        </w:rPr>
        <w:t>实际现状，当前基层烘烤生产长期存在三大核心难题，精准对应烟农生产忧愁：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没房用</w:t>
      </w:r>
      <w:r>
        <w:rPr>
          <w:rFonts w:eastAsia="等线" w:ascii="Arial" w:cs="Arial" w:hAnsi="Arial"/>
          <w:sz w:val="22"/>
        </w:rPr>
        <w:t>：村级烤房资源分布不均、闲置周期长，跨村调剂无匹配依据，烘烤高峰期设备缺口大、资源周转效率低；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没人修</w:t>
      </w:r>
      <w:r>
        <w:rPr>
          <w:rFonts w:eastAsia="等线" w:ascii="Arial" w:cs="Arial" w:hAnsi="Arial"/>
          <w:sz w:val="22"/>
        </w:rPr>
        <w:t>：烤房故障人工排查低效、配件匹配滞后，抢修无标准化流程，技术员、合作社维修资源分散，烟农烘烤故障无法快速处置；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没钱管</w:t>
      </w:r>
      <w:r>
        <w:rPr>
          <w:rFonts w:eastAsia="等线" w:ascii="Arial" w:cs="Arial" w:hAnsi="Arial"/>
          <w:sz w:val="22"/>
        </w:rPr>
        <w:t>：烤房日常养护无制度、无监督、无专人，老弱劳动力、公益性岗位用工不规范，养护流于形式，设备早衰、带病运行问题突出，存量设备健康度持续下降。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传统管理模式依赖人工经验，</w:t>
      </w:r>
      <w:r>
        <w:rPr>
          <w:rFonts w:eastAsia="等线" w:ascii="Arial" w:cs="Arial" w:hAnsi="Arial"/>
          <w:b w:val="true"/>
          <w:sz w:val="22"/>
        </w:rPr>
        <w:t>无量化评分、无数据建模、无智能决策</w:t>
      </w:r>
      <w:r>
        <w:rPr>
          <w:rFonts w:eastAsia="等线" w:ascii="Arial" w:cs="Arial" w:hAnsi="Arial"/>
          <w:sz w:val="22"/>
        </w:rPr>
        <w:t>，烤房修缮、新建、培育投入盲目化，产区容量配置与烟叶种植规模不匹配，严重制约烘烤提质增效。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二、项目整体架构（双智体系：智用 + 智投）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立足秭归全县烤房全量数据，依托</w:t>
      </w:r>
      <w:r>
        <w:rPr>
          <w:rFonts w:eastAsia="等线" w:ascii="Arial" w:cs="Arial" w:hAnsi="Arial"/>
          <w:b w:val="true"/>
          <w:sz w:val="22"/>
        </w:rPr>
        <w:t>大数据建模 + 权重算法</w:t>
      </w:r>
      <w:r>
        <w:rPr>
          <w:rFonts w:eastAsia="等线" w:ascii="Arial" w:cs="Arial" w:hAnsi="Arial"/>
          <w:sz w:val="22"/>
        </w:rPr>
        <w:t>，构建「</w:t>
      </w:r>
      <w:r>
        <w:rPr>
          <w:rFonts w:eastAsia="等线" w:ascii="Arial" w:cs="Arial" w:hAnsi="Arial"/>
          <w:b w:val="true"/>
          <w:sz w:val="22"/>
        </w:rPr>
        <w:t>智用提效能、智投优配置</w:t>
      </w:r>
      <w:r>
        <w:rPr>
          <w:rFonts w:eastAsia="等线" w:ascii="Arial" w:cs="Arial" w:hAnsi="Arial"/>
          <w:sz w:val="22"/>
        </w:rPr>
        <w:t>」双核心体系，全覆盖解决烟农 “用、修、管、建、育” 全场景问题。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（一）智用体系 —— 破解 “用不好、修不快、管不住” 难题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智用统一涵盖三大核心场景：烤房调剂、在线抢修、智能养护</w:t>
      </w:r>
      <w:r>
        <w:rPr>
          <w:rFonts w:eastAsia="等线" w:ascii="Arial" w:cs="Arial" w:hAnsi="Arial"/>
          <w:sz w:val="22"/>
        </w:rPr>
        <w:t>，聚焦存量设备高效盘活，解决烟农最直观的生产痛点。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智能调剂（解决没房用）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搭建标准化烤房资源匹配数据库，实现</w:t>
      </w:r>
      <w:r>
        <w:rPr>
          <w:rFonts w:eastAsia="等线" w:ascii="Arial" w:cs="Arial" w:hAnsi="Arial"/>
          <w:b w:val="true"/>
          <w:sz w:val="22"/>
        </w:rPr>
        <w:t>需求线上提报、算法在线匹配、烘烤进度智能提醒、烤后自动归还</w:t>
      </w:r>
      <w:r>
        <w:rPr>
          <w:rFonts w:eastAsia="等线" w:ascii="Arial" w:cs="Arial" w:hAnsi="Arial"/>
          <w:sz w:val="22"/>
        </w:rPr>
        <w:t>全流程闭环。通过大数据测算烤季空置周期、集群周转烤次、单季烤出量，最大化提升全县烤房利用率，盘活秭归存量 2422 座烤房闲置资源。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在线抢修（解决没人修）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打造一键报修智能体系，烟农端、技术员端双向联动。支持</w:t>
      </w:r>
      <w:r>
        <w:rPr>
          <w:rFonts w:eastAsia="等线" w:ascii="Arial" w:cs="Arial" w:hAnsi="Arial"/>
          <w:b w:val="true"/>
          <w:sz w:val="22"/>
        </w:rPr>
        <w:t>故障在线诊断、部件智能匹配、抢修资源自动调度、维修全程跟踪、服务评价闭环</w:t>
      </w:r>
      <w:r>
        <w:rPr>
          <w:rFonts w:eastAsia="等线" w:ascii="Arial" w:cs="Arial" w:hAnsi="Arial"/>
          <w:sz w:val="22"/>
        </w:rPr>
        <w:t>，大幅缩短故障诊断、配件匹配、物资配送、现场抢修全流程时长，彻底解决维修响应滞后问题。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智能养护（解决没钱管）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建立制度化线上养护管理机制，整合</w:t>
      </w:r>
      <w:r>
        <w:rPr>
          <w:rFonts w:eastAsia="等线" w:ascii="Arial" w:cs="Arial" w:hAnsi="Arial"/>
          <w:b w:val="true"/>
          <w:sz w:val="22"/>
        </w:rPr>
        <w:t>公益性岗位、村级固定养护人员、老弱劳动力</w:t>
      </w:r>
      <w:r>
        <w:rPr>
          <w:rFonts w:eastAsia="等线" w:ascii="Arial" w:cs="Arial" w:hAnsi="Arial"/>
          <w:sz w:val="22"/>
        </w:rPr>
        <w:t>三类兼性用工资源。实行线上养护提醒、现场打卡取证、照片线上验收、全程线上决算，替代传统人工线下管理，降低合作社管理成本，实现烟草公司全过程在线监管，规范基层养护用工与考核标准。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（二）智投体系 —— 破解 “建无序、修盲目、育低效” 难题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</w:t>
      </w:r>
      <w:r>
        <w:rPr>
          <w:rFonts w:eastAsia="等线" w:ascii="Arial" w:cs="Arial" w:hAnsi="Arial"/>
          <w:b w:val="true"/>
          <w:sz w:val="22"/>
        </w:rPr>
        <w:t>烤房健康分、产区负载发展指数、烟农精准画像</w:t>
      </w:r>
      <w:r>
        <w:rPr>
          <w:rFonts w:eastAsia="等线" w:ascii="Arial" w:cs="Arial" w:hAnsi="Arial"/>
          <w:sz w:val="22"/>
        </w:rPr>
        <w:t>三大算法模型，实现</w:t>
      </w:r>
      <w:r>
        <w:rPr>
          <w:rFonts w:eastAsia="等线" w:ascii="Arial" w:cs="Arial" w:hAnsi="Arial"/>
          <w:b w:val="true"/>
          <w:sz w:val="22"/>
        </w:rPr>
        <w:t>修缮投入、新建布局、烟农培育</w:t>
      </w:r>
      <w:r>
        <w:rPr>
          <w:rFonts w:eastAsia="等线" w:ascii="Arial" w:cs="Arial" w:hAnsi="Arial"/>
          <w:sz w:val="22"/>
        </w:rPr>
        <w:t>的科学化、数据化、精准化决策，从源头优化产区烘烤产能配置。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精准修缮投入</w:t>
      </w:r>
      <w:r>
        <w:rPr>
          <w:rFonts w:eastAsia="等线" w:ascii="Arial" w:cs="Arial" w:hAnsi="Arial"/>
          <w:sz w:val="22"/>
        </w:rPr>
        <w:t>：以单座烤房健康得分为依据，智能筛选高故障、低健康、超使用寿命设备，精准推送优先修复清单，指导合作社、定点技术员开展靶向维修；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科学新建布局</w:t>
      </w:r>
      <w:r>
        <w:rPr>
          <w:rFonts w:eastAsia="等线" w:ascii="Arial" w:cs="Arial" w:hAnsi="Arial"/>
          <w:sz w:val="22"/>
        </w:rPr>
        <w:t>：以村级</w:t>
      </w:r>
      <w:r>
        <w:rPr>
          <w:rFonts w:eastAsia="等线" w:ascii="Arial" w:cs="Arial" w:hAnsi="Arial"/>
          <w:b w:val="true"/>
          <w:sz w:val="22"/>
        </w:rPr>
        <w:t>负载发展指数、种植面积、烟叶发展增量（10%/15% 增长测算）、现有烤房容量</w:t>
      </w:r>
      <w:r>
        <w:rPr>
          <w:rFonts w:eastAsia="等线" w:ascii="Arial" w:cs="Arial" w:hAnsi="Arial"/>
          <w:sz w:val="22"/>
        </w:rPr>
        <w:t>为核心指标，算法自动研判各村烤房缺口，输出新建烤房智能建议；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精准烟农培育</w:t>
      </w:r>
      <w:r>
        <w:rPr>
          <w:rFonts w:eastAsia="等线" w:ascii="Arial" w:cs="Arial" w:hAnsi="Arial"/>
          <w:sz w:val="22"/>
        </w:rPr>
        <w:t>：依托烟农大数据画像，区分职业烟农、普通烟农、新手烟农，针对性推送烘烤技术培训、物资投入指导、田间烘烤管理要点，实现因材施教、精准赋能。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三、核心算法模型（秭归全容量排查核心支撑）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基于全县</w:t>
      </w:r>
      <w:r>
        <w:rPr>
          <w:rFonts w:eastAsia="等线" w:ascii="Arial" w:cs="Arial" w:hAnsi="Arial"/>
          <w:b w:val="true"/>
          <w:sz w:val="22"/>
        </w:rPr>
        <w:t>2422 座存量烤房</w:t>
      </w:r>
      <w:r>
        <w:rPr>
          <w:rFonts w:eastAsia="等线" w:ascii="Arial" w:cs="Arial" w:hAnsi="Arial"/>
          <w:sz w:val="22"/>
        </w:rPr>
        <w:t>全量排查数据，搭建三大核心量化模型，明确数据采集、权重赋分、计算规则，实现所有决策可量化、可溯源、可落地。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烤房健康分模型（核心底座）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（1）数据采集内容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全覆盖烤房</w:t>
      </w:r>
      <w:r>
        <w:rPr>
          <w:rFonts w:eastAsia="等线" w:ascii="Arial" w:cs="Arial" w:hAnsi="Arial"/>
          <w:b w:val="true"/>
          <w:sz w:val="22"/>
        </w:rPr>
        <w:t>设备部件、使用年限、故障频次、修复记录、养护频次、运行负载、损耗程度</w:t>
      </w:r>
      <w:r>
        <w:rPr>
          <w:rFonts w:eastAsia="等线" w:ascii="Arial" w:cs="Arial" w:hAnsi="Arial"/>
          <w:sz w:val="22"/>
        </w:rPr>
        <w:t>等全维度数据，细化到具体损坏部位、故障类型、维修支出、年度养护投入。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（2）五大赋分维度 + 权重体系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b w:val="true"/>
          <w:sz w:val="22"/>
        </w:rPr>
        <w:t>使用寿命、设备完好度、故障修复率、日常养护度、负载适配度</w:t>
      </w:r>
      <w:r>
        <w:rPr>
          <w:rFonts w:eastAsia="等线" w:ascii="Arial" w:cs="Arial" w:hAnsi="Arial"/>
          <w:sz w:val="22"/>
        </w:rPr>
        <w:t>5 个核心维度加权建模，形成标准化健康分值：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使用寿命权重：核定设备标准使用年限，根据剩余使用比例赋分；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设备完好权重：依据排查部件损坏数量、损坏等级扣减分值；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修复成效权重：结合历史维修次数、维修成本、故障复发率赋分；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日常养护权重：根据年度养护频次、线上验收合格率、用工规范度赋分；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负载健康权重：结合日常烘烤负载、超负荷运行频次、设备损耗赋分。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（3）应用场景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健康分高低直接决定</w:t>
      </w:r>
      <w:r>
        <w:rPr>
          <w:rFonts w:eastAsia="等线" w:ascii="Arial" w:cs="Arial" w:hAnsi="Arial"/>
          <w:b w:val="true"/>
          <w:sz w:val="22"/>
        </w:rPr>
        <w:t>是否修复、优先修缮、淘汰更换</w:t>
      </w:r>
      <w:r>
        <w:rPr>
          <w:rFonts w:eastAsia="等线" w:ascii="Arial" w:cs="Arial" w:hAnsi="Arial"/>
          <w:sz w:val="22"/>
        </w:rPr>
        <w:t>，为公司维修投入、物资匹配、技术员定点维修提供数据依据。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村级负载发展指数模型（新建 / 扩容决策核心）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以村为单位开展容量全盘测算，综合</w:t>
      </w:r>
      <w:r>
        <w:rPr>
          <w:rFonts w:eastAsia="等线" w:ascii="Arial" w:cs="Arial" w:hAnsi="Arial"/>
          <w:b w:val="true"/>
          <w:sz w:val="22"/>
        </w:rPr>
        <w:t>现有烤房总容量、辖区种植面积、历年烘烤产量、烟叶发展增速（10%/15% 增量预判）、设备空置率、供需缺口差</w:t>
      </w:r>
      <w:r>
        <w:rPr>
          <w:rFonts w:eastAsia="等线" w:ascii="Arial" w:cs="Arial" w:hAnsi="Arial"/>
          <w:sz w:val="22"/>
        </w:rPr>
        <w:t>六大指标加权计算发展指数。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指数偏高：村级烘烤产能充足，无需新建，重点强化养护与调剂盘活；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指数偏低：村级产能无法匹配种植发展需求，系统自动输出</w:t>
      </w:r>
      <w:r>
        <w:rPr>
          <w:rFonts w:eastAsia="等线" w:ascii="Arial" w:cs="Arial" w:hAnsi="Arial"/>
          <w:b w:val="true"/>
          <w:sz w:val="22"/>
        </w:rPr>
        <w:t>新建烤房、扩容升级、设备增补</w:t>
      </w:r>
      <w:r>
        <w:rPr>
          <w:rFonts w:eastAsia="等线" w:ascii="Arial" w:cs="Arial" w:hAnsi="Arial"/>
          <w:sz w:val="22"/>
        </w:rPr>
        <w:t>智能决策建议，精准控制投入成本、避免资源浪费。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烟农精准画像模型（培育赋能核心）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整合烟农</w:t>
      </w:r>
      <w:r>
        <w:rPr>
          <w:rFonts w:eastAsia="等线" w:ascii="Arial" w:cs="Arial" w:hAnsi="Arial"/>
          <w:b w:val="true"/>
          <w:sz w:val="22"/>
        </w:rPr>
        <w:t>烘烤年限、技术水平、物资投入、用工情况、设备使用习惯、故障上报频次、烘烤成效</w:t>
      </w:r>
      <w:r>
        <w:rPr>
          <w:rFonts w:eastAsia="等线" w:ascii="Arial" w:cs="Arial" w:hAnsi="Arial"/>
          <w:sz w:val="22"/>
        </w:rPr>
        <w:t>等数据，构建职业烟农分级画像。</w:t>
        <w:br/>
      </w:r>
      <w:r>
        <w:rPr>
          <w:rFonts w:eastAsia="等线" w:ascii="Arial" w:cs="Arial" w:hAnsi="Arial"/>
          <w:sz w:val="22"/>
        </w:rPr>
        <w:t>针对不同画像群体，精准匹配</w:t>
      </w:r>
      <w:r>
        <w:rPr>
          <w:rFonts w:eastAsia="等线" w:ascii="Arial" w:cs="Arial" w:hAnsi="Arial"/>
          <w:b w:val="true"/>
          <w:sz w:val="22"/>
        </w:rPr>
        <w:t>技术培训、物资补贴指导、烘烤风险预警、设备使用指导</w:t>
      </w:r>
      <w:r>
        <w:rPr>
          <w:rFonts w:eastAsia="等线" w:ascii="Arial" w:cs="Arial" w:hAnsi="Arial"/>
          <w:sz w:val="22"/>
        </w:rPr>
        <w:t>，解决传统大水漫灌式培训低效问题。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四、全链条落地业务场景</w:t>
      </w:r>
      <w:bookmarkEnd w:id="1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抢修端</w:t>
      </w:r>
      <w:r>
        <w:rPr>
          <w:rFonts w:eastAsia="等线" w:ascii="Arial" w:cs="Arial" w:hAnsi="Arial"/>
          <w:sz w:val="22"/>
        </w:rPr>
        <w:t>：视频 + 文字双模式故障上报，AI 辅助诊断、自动排除常规故障，智能匹配抢修人员、配件物资，全程进度可追溯；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养护端</w:t>
      </w:r>
      <w:r>
        <w:rPr>
          <w:rFonts w:eastAsia="等线" w:ascii="Arial" w:cs="Arial" w:hAnsi="Arial"/>
          <w:sz w:val="22"/>
        </w:rPr>
        <w:t>：制度化定期养护，公益性岗位、村级劳动力定点值守，线上提醒、照片验收、线上决算，实现养护常态化、标准化；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调剂端</w:t>
      </w:r>
      <w:r>
        <w:rPr>
          <w:rFonts w:eastAsia="等线" w:ascii="Arial" w:cs="Arial" w:hAnsi="Arial"/>
          <w:sz w:val="22"/>
        </w:rPr>
        <w:t>：大数据预测烘烤周期、设备闲置时段，预判设备可用时长，实现跨村、跨集群资源高效流转；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决策端</w:t>
      </w:r>
      <w:r>
        <w:rPr>
          <w:rFonts w:eastAsia="等线" w:ascii="Arial" w:cs="Arial" w:hAnsi="Arial"/>
          <w:sz w:val="22"/>
        </w:rPr>
        <w:t>：搭建秭归专属烤房 + 烟农数据库，所有修缮支出、新建投入、培训资源、物资投放均由算法辅助决策，有据可依。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五、项目核心成效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资源效率提升</w:t>
      </w:r>
      <w:r>
        <w:rPr>
          <w:rFonts w:eastAsia="等线" w:ascii="Arial" w:cs="Arial" w:hAnsi="Arial"/>
          <w:sz w:val="22"/>
        </w:rPr>
        <w:t>：大幅缩短烤房空置周期，提升集群烤房周转烤次、单季烘烤总量，存量 2422 座烤房利用率显著提升；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维修效率提升</w:t>
      </w:r>
      <w:r>
        <w:rPr>
          <w:rFonts w:eastAsia="等线" w:ascii="Arial" w:cs="Arial" w:hAnsi="Arial"/>
          <w:sz w:val="22"/>
        </w:rPr>
        <w:t>：故障诊断、配件匹配、抢修响应、物资配送周期大幅压缩，设备带病运行率下降，烟农烘烤损失减少；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管理效率提升</w:t>
      </w:r>
      <w:r>
        <w:rPr>
          <w:rFonts w:eastAsia="等线" w:ascii="Arial" w:cs="Arial" w:hAnsi="Arial"/>
          <w:sz w:val="22"/>
        </w:rPr>
        <w:t>：养护全流程线上监管、验收、决算，规范基层用工与管护制度，彻底解决 “重使用、轻养护” 问题；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决策精度提升</w:t>
      </w:r>
      <w:r>
        <w:rPr>
          <w:rFonts w:eastAsia="等线" w:ascii="Arial" w:cs="Arial" w:hAnsi="Arial"/>
          <w:sz w:val="22"/>
        </w:rPr>
        <w:t>：告别人工经验决策，通过健康分、发展指数量化产能供需，精准管控修缮、新建、培育投入，实现资源最优配置。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六、项目创新亮点（大赛核心加分点）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痛点精准闭环</w:t>
      </w:r>
      <w:r>
        <w:rPr>
          <w:rFonts w:eastAsia="等线" w:ascii="Arial" w:cs="Arial" w:hAnsi="Arial"/>
          <w:sz w:val="22"/>
        </w:rPr>
        <w:t>：完全对标烟农</w:t>
      </w:r>
      <w:r>
        <w:rPr>
          <w:rFonts w:eastAsia="等线" w:ascii="Arial" w:cs="Arial" w:hAnsi="Arial"/>
          <w:b w:val="true"/>
          <w:sz w:val="22"/>
        </w:rPr>
        <w:t>没房用、没人修、没钱管</w:t>
      </w:r>
      <w:r>
        <w:rPr>
          <w:rFonts w:eastAsia="等线" w:ascii="Arial" w:cs="Arial" w:hAnsi="Arial"/>
          <w:sz w:val="22"/>
        </w:rPr>
        <w:t>三大真实痛点，智用体系全覆盖调剂、抢修、养护场景，逻辑完整、无短板；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数据量化硬核</w:t>
      </w:r>
      <w:r>
        <w:rPr>
          <w:rFonts w:eastAsia="等线" w:ascii="Arial" w:cs="Arial" w:hAnsi="Arial"/>
          <w:sz w:val="22"/>
        </w:rPr>
        <w:t>：依托秭归 2422 座烤房</w:t>
      </w:r>
      <w:r>
        <w:rPr>
          <w:rFonts w:eastAsia="等线" w:ascii="Arial" w:cs="Arial" w:hAnsi="Arial"/>
          <w:b w:val="true"/>
          <w:sz w:val="22"/>
        </w:rPr>
        <w:t>全容量全域排查</w:t>
      </w:r>
      <w:r>
        <w:rPr>
          <w:rFonts w:eastAsia="等线" w:ascii="Arial" w:cs="Arial" w:hAnsi="Arial"/>
          <w:sz w:val="22"/>
        </w:rPr>
        <w:t>真实数据，自研健康分、发展指数、烟农画像三维权重算法，技术落地性极强；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体系架构清晰</w:t>
      </w:r>
      <w:r>
        <w:rPr>
          <w:rFonts w:eastAsia="等线" w:ascii="Arial" w:cs="Arial" w:hAnsi="Arial"/>
          <w:sz w:val="22"/>
        </w:rPr>
        <w:t>：区分「智用（存量盘活）+ 智投（增量优化）」双赛道，兼顾现有资源提效与未来产能布局，长短效结合；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落地性极强</w:t>
      </w:r>
      <w:r>
        <w:rPr>
          <w:rFonts w:eastAsia="等线" w:ascii="Arial" w:cs="Arial" w:hAnsi="Arial"/>
          <w:sz w:val="22"/>
        </w:rPr>
        <w:t>：覆盖烟农、技术员、合作社、烟草公司四级用户，从一线使用、基层管护、企业决策形成全链条闭环，可直接落地推广。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3107">
    <w:lvl>
      <w:start w:val="1"/>
      <w:numFmt w:val="decimal"/>
      <w:suff w:val="tab"/>
      <w:lvlText w:val="%1."/>
      <w:rPr>
        <w:color w:val="3370ff"/>
      </w:rPr>
    </w:lvl>
  </w:abstractNum>
  <w:abstractNum w:abstractNumId="1513108">
    <w:lvl>
      <w:start w:val="2"/>
      <w:numFmt w:val="decimal"/>
      <w:suff w:val="tab"/>
      <w:lvlText w:val="%1."/>
      <w:rPr>
        <w:color w:val="3370ff"/>
      </w:rPr>
    </w:lvl>
  </w:abstractNum>
  <w:abstractNum w:abstractNumId="1513109">
    <w:lvl>
      <w:start w:val="3"/>
      <w:numFmt w:val="decimal"/>
      <w:suff w:val="tab"/>
      <w:lvlText w:val="%1."/>
      <w:rPr>
        <w:color w:val="3370ff"/>
      </w:rPr>
    </w:lvl>
  </w:abstractNum>
  <w:abstractNum w:abstractNumId="1513110">
    <w:lvl>
      <w:start w:val="1"/>
      <w:numFmt w:val="decimal"/>
      <w:suff w:val="tab"/>
      <w:lvlText w:val="%1."/>
      <w:rPr>
        <w:color w:val="3370ff"/>
      </w:rPr>
    </w:lvl>
  </w:abstractNum>
  <w:abstractNum w:abstractNumId="1513111">
    <w:lvl>
      <w:start w:val="2"/>
      <w:numFmt w:val="decimal"/>
      <w:suff w:val="tab"/>
      <w:lvlText w:val="%1."/>
      <w:rPr>
        <w:color w:val="3370ff"/>
      </w:rPr>
    </w:lvl>
  </w:abstractNum>
  <w:abstractNum w:abstractNumId="1513112">
    <w:lvl>
      <w:start w:val="3"/>
      <w:numFmt w:val="decimal"/>
      <w:suff w:val="tab"/>
      <w:lvlText w:val="%1."/>
      <w:rPr>
        <w:color w:val="3370ff"/>
      </w:rPr>
    </w:lvl>
  </w:abstractNum>
  <w:abstractNum w:abstractNumId="1513113">
    <w:lvl>
      <w:start w:val="1"/>
      <w:numFmt w:val="decimal"/>
      <w:suff w:val="tab"/>
      <w:lvlText w:val="%1."/>
      <w:rPr>
        <w:color w:val="3370ff"/>
      </w:rPr>
    </w:lvl>
  </w:abstractNum>
  <w:abstractNum w:abstractNumId="1513114">
    <w:lvl>
      <w:start w:val="2"/>
      <w:numFmt w:val="decimal"/>
      <w:suff w:val="tab"/>
      <w:lvlText w:val="%1."/>
      <w:rPr>
        <w:color w:val="3370ff"/>
      </w:rPr>
    </w:lvl>
  </w:abstractNum>
  <w:abstractNum w:abstractNumId="1513115">
    <w:lvl>
      <w:start w:val="3"/>
      <w:numFmt w:val="decimal"/>
      <w:suff w:val="tab"/>
      <w:lvlText w:val="%1."/>
      <w:rPr>
        <w:color w:val="3370ff"/>
      </w:rPr>
    </w:lvl>
  </w:abstractNum>
  <w:abstractNum w:abstractNumId="1513116">
    <w:lvl>
      <w:numFmt w:val="bullet"/>
      <w:suff w:val="tab"/>
      <w:lvlText w:val="•"/>
      <w:rPr>
        <w:color w:val="3370ff"/>
      </w:rPr>
    </w:lvl>
  </w:abstractNum>
  <w:abstractNum w:abstractNumId="1513117">
    <w:lvl>
      <w:numFmt w:val="bullet"/>
      <w:suff w:val="tab"/>
      <w:lvlText w:val="•"/>
      <w:rPr>
        <w:color w:val="3370ff"/>
      </w:rPr>
    </w:lvl>
  </w:abstractNum>
  <w:abstractNum w:abstractNumId="1513118">
    <w:lvl>
      <w:numFmt w:val="bullet"/>
      <w:suff w:val="tab"/>
      <w:lvlText w:val="•"/>
      <w:rPr>
        <w:color w:val="3370ff"/>
      </w:rPr>
    </w:lvl>
  </w:abstractNum>
  <w:abstractNum w:abstractNumId="1513119">
    <w:lvl>
      <w:numFmt w:val="bullet"/>
      <w:suff w:val="tab"/>
      <w:lvlText w:val="•"/>
      <w:rPr>
        <w:color w:val="3370ff"/>
      </w:rPr>
    </w:lvl>
  </w:abstractNum>
  <w:abstractNum w:abstractNumId="1513120">
    <w:lvl>
      <w:numFmt w:val="bullet"/>
      <w:suff w:val="tab"/>
      <w:lvlText w:val="•"/>
      <w:rPr>
        <w:color w:val="3370ff"/>
      </w:rPr>
    </w:lvl>
  </w:abstractNum>
  <w:abstractNum w:abstractNumId="1513121">
    <w:lvl>
      <w:numFmt w:val="bullet"/>
      <w:suff w:val="tab"/>
      <w:lvlText w:val="•"/>
      <w:rPr>
        <w:color w:val="3370ff"/>
      </w:rPr>
    </w:lvl>
  </w:abstractNum>
  <w:abstractNum w:abstractNumId="1513122">
    <w:lvl>
      <w:numFmt w:val="bullet"/>
      <w:suff w:val="tab"/>
      <w:lvlText w:val="•"/>
      <w:rPr>
        <w:color w:val="3370ff"/>
      </w:rPr>
    </w:lvl>
  </w:abstractNum>
  <w:abstractNum w:abstractNumId="1513123">
    <w:lvl>
      <w:start w:val="1"/>
      <w:numFmt w:val="decimal"/>
      <w:suff w:val="tab"/>
      <w:lvlText w:val="%1."/>
      <w:rPr>
        <w:color w:val="3370ff"/>
      </w:rPr>
    </w:lvl>
  </w:abstractNum>
  <w:abstractNum w:abstractNumId="1513124">
    <w:lvl>
      <w:start w:val="2"/>
      <w:numFmt w:val="decimal"/>
      <w:suff w:val="tab"/>
      <w:lvlText w:val="%1."/>
      <w:rPr>
        <w:color w:val="3370ff"/>
      </w:rPr>
    </w:lvl>
  </w:abstractNum>
  <w:abstractNum w:abstractNumId="1513125">
    <w:lvl>
      <w:start w:val="3"/>
      <w:numFmt w:val="decimal"/>
      <w:suff w:val="tab"/>
      <w:lvlText w:val="%1."/>
      <w:rPr>
        <w:color w:val="3370ff"/>
      </w:rPr>
    </w:lvl>
  </w:abstractNum>
  <w:abstractNum w:abstractNumId="1513126">
    <w:lvl>
      <w:start w:val="4"/>
      <w:numFmt w:val="decimal"/>
      <w:suff w:val="tab"/>
      <w:lvlText w:val="%1."/>
      <w:rPr>
        <w:color w:val="3370ff"/>
      </w:rPr>
    </w:lvl>
  </w:abstractNum>
  <w:abstractNum w:abstractNumId="1513127">
    <w:lvl>
      <w:start w:val="1"/>
      <w:numFmt w:val="decimal"/>
      <w:suff w:val="tab"/>
      <w:lvlText w:val="%1."/>
      <w:rPr>
        <w:color w:val="3370ff"/>
      </w:rPr>
    </w:lvl>
  </w:abstractNum>
  <w:abstractNum w:abstractNumId="1513128">
    <w:lvl>
      <w:start w:val="2"/>
      <w:numFmt w:val="decimal"/>
      <w:suff w:val="tab"/>
      <w:lvlText w:val="%1."/>
      <w:rPr>
        <w:color w:val="3370ff"/>
      </w:rPr>
    </w:lvl>
  </w:abstractNum>
  <w:abstractNum w:abstractNumId="1513129">
    <w:lvl>
      <w:start w:val="3"/>
      <w:numFmt w:val="decimal"/>
      <w:suff w:val="tab"/>
      <w:lvlText w:val="%1."/>
      <w:rPr>
        <w:color w:val="3370ff"/>
      </w:rPr>
    </w:lvl>
  </w:abstractNum>
  <w:abstractNum w:abstractNumId="1513130">
    <w:lvl>
      <w:start w:val="4"/>
      <w:numFmt w:val="decimal"/>
      <w:suff w:val="tab"/>
      <w:lvlText w:val="%1."/>
      <w:rPr>
        <w:color w:val="3370ff"/>
      </w:rPr>
    </w:lvl>
  </w:abstractNum>
  <w:abstractNum w:abstractNumId="1513131">
    <w:lvl>
      <w:start w:val="1"/>
      <w:numFmt w:val="decimal"/>
      <w:suff w:val="tab"/>
      <w:lvlText w:val="%1."/>
      <w:rPr>
        <w:color w:val="3370ff"/>
      </w:rPr>
    </w:lvl>
  </w:abstractNum>
  <w:abstractNum w:abstractNumId="1513132">
    <w:lvl>
      <w:start w:val="2"/>
      <w:numFmt w:val="decimal"/>
      <w:suff w:val="tab"/>
      <w:lvlText w:val="%1."/>
      <w:rPr>
        <w:color w:val="3370ff"/>
      </w:rPr>
    </w:lvl>
  </w:abstractNum>
  <w:abstractNum w:abstractNumId="1513133">
    <w:lvl>
      <w:start w:val="3"/>
      <w:numFmt w:val="decimal"/>
      <w:suff w:val="tab"/>
      <w:lvlText w:val="%1."/>
      <w:rPr>
        <w:color w:val="3370ff"/>
      </w:rPr>
    </w:lvl>
  </w:abstractNum>
  <w:abstractNum w:abstractNumId="1513134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513107"/>
  </w:num>
  <w:num w:numId="2">
    <w:abstractNumId w:val="1513108"/>
  </w:num>
  <w:num w:numId="3">
    <w:abstractNumId w:val="1513109"/>
  </w:num>
  <w:num w:numId="4">
    <w:abstractNumId w:val="1513110"/>
  </w:num>
  <w:num w:numId="5">
    <w:abstractNumId w:val="1513111"/>
  </w:num>
  <w:num w:numId="6">
    <w:abstractNumId w:val="1513112"/>
  </w:num>
  <w:num w:numId="7">
    <w:abstractNumId w:val="1513113"/>
  </w:num>
  <w:num w:numId="8">
    <w:abstractNumId w:val="1513114"/>
  </w:num>
  <w:num w:numId="9">
    <w:abstractNumId w:val="1513115"/>
  </w:num>
  <w:num w:numId="10">
    <w:abstractNumId w:val="1513116"/>
  </w:num>
  <w:num w:numId="11">
    <w:abstractNumId w:val="1513117"/>
  </w:num>
  <w:num w:numId="12">
    <w:abstractNumId w:val="1513118"/>
  </w:num>
  <w:num w:numId="13">
    <w:abstractNumId w:val="1513119"/>
  </w:num>
  <w:num w:numId="14">
    <w:abstractNumId w:val="1513120"/>
  </w:num>
  <w:num w:numId="15">
    <w:abstractNumId w:val="1513121"/>
  </w:num>
  <w:num w:numId="16">
    <w:abstractNumId w:val="1513122"/>
  </w:num>
  <w:num w:numId="17">
    <w:abstractNumId w:val="1513123"/>
  </w:num>
  <w:num w:numId="18">
    <w:abstractNumId w:val="1513124"/>
  </w:num>
  <w:num w:numId="19">
    <w:abstractNumId w:val="1513125"/>
  </w:num>
  <w:num w:numId="20">
    <w:abstractNumId w:val="1513126"/>
  </w:num>
  <w:num w:numId="21">
    <w:abstractNumId w:val="1513127"/>
  </w:num>
  <w:num w:numId="22">
    <w:abstractNumId w:val="1513128"/>
  </w:num>
  <w:num w:numId="23">
    <w:abstractNumId w:val="1513129"/>
  </w:num>
  <w:num w:numId="24">
    <w:abstractNumId w:val="1513130"/>
  </w:num>
  <w:num w:numId="25">
    <w:abstractNumId w:val="1513131"/>
  </w:num>
  <w:num w:numId="26">
    <w:abstractNumId w:val="1513132"/>
  </w:num>
  <w:num w:numId="27">
    <w:abstractNumId w:val="1513133"/>
  </w:num>
  <w:num w:numId="28">
    <w:abstractNumId w:val="15131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2026-08-29T12:53:43Z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{"Label":"1","ContentProducer":"001191110102MACQD9K64010000","ProduceID":"7679435911802063844","ReservedCode1":"","ContentPropagator":"","PropagateID":"","ReservedCode2":""}</vt:lpwstr>
  </property>
</Properties>
</file>