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 w:before="400" w:line="340"/>
        <w:jc w:val="center"/>
      </w:pPr>
      <w:r>
        <w:rPr>
          <w:rFonts w:ascii="Arial" w:eastAsia="PingFang SC" w:hAnsi="Arial"/>
          <w:b w:val="false"/>
          <w:bCs w:val="false"/>
          <w:color w:val="666666"/>
          <w:sz w:val="28"/>
          <w:szCs w:val="28"/>
        </w:rPr>
        <w:t xml:space="preserve">附件3</w:t>
      </w:r>
    </w:p>
    <w:p>
      <w:pPr>
        <w:spacing w:after="120" w:before="200" w:line="340"/>
        <w:jc w:val="center"/>
      </w:pPr>
      <w:r>
        <w:rPr>
          <w:rFonts w:ascii="Arial" w:eastAsia="PingFang SC" w:hAnsi="Arial"/>
          <w:b/>
          <w:bCs/>
          <w:color w:val="1A5276"/>
          <w:sz w:val="36"/>
          <w:szCs w:val="36"/>
        </w:rPr>
        <w:t xml:space="preserve">2026年数字化转型创客大赛</w:t>
      </w:r>
    </w:p>
    <w:p/>
    <w:p>
      <w:pPr>
        <w:spacing w:after="120" w:before="600" w:line="340"/>
        <w:jc w:val="center"/>
      </w:pPr>
      <w:r>
        <w:rPr>
          <w:rFonts w:ascii="Arial" w:eastAsia="PingFang SC" w:hAnsi="Arial"/>
          <w:b/>
          <w:bCs/>
          <w:color w:val="1A5276"/>
          <w:sz w:val="44"/>
          <w:szCs w:val="44"/>
        </w:rPr>
        <w:t xml:space="preserve">成果技术资料说明书</w:t>
      </w:r>
    </w:p>
    <w:p/>
    <w:p>
      <w:pPr>
        <w:spacing w:after="120" w:before="200" w:line="340"/>
        <w:jc w:val="center"/>
      </w:pPr>
      <w:r>
        <w:rPr>
          <w:rFonts w:ascii="Arial" w:eastAsia="PingFang SC" w:hAnsi="Arial"/>
          <w:b/>
          <w:bCs/>
          <w:color w:val="333333"/>
          <w:sz w:val="24"/>
          <w:szCs w:val="24"/>
        </w:rPr>
        <w:t xml:space="preserve">赛 题 名 称：“共享烤房”建用管一体化数智协同模式的研究</w:t>
      </w:r>
    </w:p>
    <w:p>
      <w:pPr>
        <w:spacing w:after="120" w:before="120" w:line="340"/>
        <w:jc w:val="center"/>
      </w:pPr>
      <w:r>
        <w:rPr>
          <w:rFonts w:ascii="Arial" w:eastAsia="PingFang SC" w:hAnsi="Arial"/>
          <w:b/>
          <w:bCs/>
          <w:color w:val="333333"/>
          <w:sz w:val="24"/>
          <w:szCs w:val="24"/>
        </w:rPr>
        <w:t xml:space="preserve">参 赛 条 线： 烟叶条线</w:t>
      </w:r>
    </w:p>
    <w:p>
      <w:pPr>
        <w:spacing w:after="120" w:before="120" w:line="340"/>
        <w:jc w:val="center"/>
      </w:pPr>
      <w:r>
        <w:rPr>
          <w:rFonts w:ascii="Arial" w:eastAsia="PingFang SC" w:hAnsi="Arial"/>
          <w:b/>
          <w:bCs/>
          <w:color w:val="333333"/>
          <w:sz w:val="24"/>
          <w:szCs w:val="24"/>
        </w:rPr>
        <w:t xml:space="preserve">参 赛 单 位： 湖北省烟草公司宜昌市公司</w:t>
      </w:r>
    </w:p>
    <w:p>
      <w:pPr>
        <w:spacing w:after="120" w:before="120" w:line="340"/>
        <w:jc w:val="center"/>
      </w:pPr>
      <w:r>
        <w:rPr>
          <w:rFonts w:ascii="Arial" w:eastAsia="PingFang SC" w:hAnsi="Arial"/>
          <w:b/>
          <w:bCs/>
          <w:color w:val="333333"/>
          <w:sz w:val="24"/>
          <w:szCs w:val="24"/>
        </w:rPr>
        <w:t xml:space="preserve">日 期： 2026年9月1日</w:t>
      </w:r>
    </w:p>
    <w:p>
      <w:r>
        <w:br w:type="page"/>
      </w:r>
    </w:p>
    <w:p>
      <w:pPr>
        <w:spacing w:after="300" w:before="400" w:line="340"/>
        <w:jc w:val="center"/>
      </w:pPr>
      <w:r>
        <w:rPr>
          <w:rFonts w:ascii="Arial" w:eastAsia="PingFang SC" w:hAnsi="Arial"/>
          <w:b/>
          <w:bCs/>
          <w:color w:val="1A5276"/>
          <w:sz w:val="32"/>
          <w:szCs w:val="32"/>
        </w:rPr>
        <w:t xml:space="preserve">填 报 事 项</w:t>
      </w:r>
    </w:p>
    <w:p>
      <w:pPr>
        <w:spacing w:after="120" w:before="120" w:line="340"/>
        <w:ind w:firstLine="480"/>
        <w:jc w:val="left"/>
      </w:pPr>
      <w:r>
        <w:rPr>
          <w:rFonts w:ascii="Arial" w:eastAsia="PingFang SC" w:hAnsi="Arial"/>
          <w:b w:val="false"/>
          <w:bCs w:val="false"/>
          <w:color w:val="333333"/>
          <w:sz w:val="22"/>
          <w:szCs w:val="22"/>
        </w:rPr>
        <w:t xml:space="preserve">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spacing w:after="120" w:before="120" w:line="340"/>
        <w:ind w:firstLine="480"/>
        <w:jc w:val="left"/>
      </w:pPr>
      <w:r>
        <w:rPr>
          <w:rFonts w:ascii="Arial" w:eastAsia="PingFang SC" w:hAnsi="Arial"/>
          <w:b w:val="false"/>
          <w:bCs w:val="false"/>
          <w:color w:val="333333"/>
          <w:sz w:val="22"/>
          <w:szCs w:val="22"/>
        </w:rPr>
        <w:t xml:space="preserve">二、使用自采数据的需配套提供数据使用手册，并在手册中对脱敏数据项加“*”标注。</w:t>
      </w:r>
    </w:p>
    <w:p>
      <w:pPr>
        <w:spacing w:before="400"/>
      </w:pPr>
      <w:r>
        <w:rPr>
          <w:rFonts w:ascii="Arial" w:eastAsia="PingFang SC" w:hAnsi="Arial"/>
          <w:b/>
          <w:bCs/>
          <w:color w:val="1A5276"/>
          <w:sz w:val="28"/>
          <w:szCs w:val="28"/>
        </w:rPr>
        <w:t xml:space="preserve">成果物清单</w:t>
      </w:r>
    </w:p>
    <w:p>
      <w:pPr>
        <w:spacing w:before="60"/>
      </w:pPr>
      <w:r>
        <w:rPr>
          <w:rFonts w:ascii="Arial" w:eastAsia="PingFang SC" w:hAnsi="Arial"/>
          <w:color w:val="666666"/>
          <w:sz w:val="18"/>
          <w:szCs w:val="18"/>
        </w:rPr>
        <w:t xml:space="preserve">（自下而上覆盖底座采集、平台服务、算法分析、流程协同、门户应用五层技术架构）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600"/>
        <w:gridCol w:w="3760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技术 工具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成果物 类别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成果物清单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成果物说明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数据可视化（FineBI/FineVis）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数据大屏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1.烤房健康分析看板（FineBI）
2.烤房GIS地图与健康热力图（FineVis）
3.共享烤房管理驾驶舱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1.基于FineBI自助式分析，展示全县2422座烤房健康分布、维修资金分析、利用率分析，支持按区域/时间/健康等级多维度拖拽交叉分析。
2.基于FineVis高级可视化组件，实现烤房GIS地图标注、健康热力图、三维空间展示，直观呈现“一座烤房一档案、一张地图看全县”。
3.面向管理层的决策驾驶舱，集中展示烤房总量、健康分布、维修进度、资金投放、调度效率等核心指标。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FineReport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企业级报表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1.烤房运行统计报表
2.维修工单统计报表
3.维修资金使用报表
4.选址评价报告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基于帆软FineReport设计企业级报表模板，定期自动生成烤房运行统计报表、维修工单（含资金）统计报表、维修资金使用报表，支持打印与导出，服务于业务归档与管理层决策；结合选址算法输出选址评价报告，一键生成候选点评分与适宜等级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Web系统（Spring Boot + Vue 3 + RuoYi）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应用系统（小微应用封装成果）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1.共享烤房智能化管理系统（Web管理端）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后端基于RuoYi框架二次开发（Spring Boot 2.7.18 + MyBatis Plus + Spring Security JWT鉴权），前端采用Vue 3 + TypeScript + Element Plus + Tailwind CSS + ECharts。已实现烤房基础信息与部件管理、预约与分配、维修工单全流程、健康评分、寿命预测、选址评价、AI助手、BI看板、数字孪生、系统管理等模块，是系统核心管理门户。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微信小程序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移动应用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1.共享烤房小程序（烟农/技术员/维修工三端）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采用微信原生开发框架，后端以Flask提供API并共用Web端MySQL数据库（web_kaoFa），数据实时同步。已实现手机号快捷登录、烤房预约/分配、状态查询、在线报修与进度跟踪、AI助手问答、个人信息管理等功能，实现“一部手机管烤房”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数据算法模型（AI大模型/自研算法）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数据算法模型成果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1.增强BMHI健康分算法
2.BDRL寿命预测算法
3.AHP+熵权+TOPSIS选址算法
4.五因子加权调度算法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1.健康分：AHP确定五大部件权重，对“状态、退化、评价”三维量化加权，输出0-100分与5级健康等级。
2.寿命预测：BDRL双段退化模型（线性退化+加速劣化）引入维修回弹效应，预测剩余寿命并给出维修/更换预警。
3.选址：AHP主观权重+熵权客观权重组合（α=0.6），TOPSIS贴近度排序，输出高度适宜/适宜/一般/不适宜四级结论；已用于秭归县7乡镇20个候选点。
4.调度：综合健康分30%+空闲度25%+容量20%+设备完整度15%+维修历史10%加权评分，实现秒级Top10智能推荐与防重机制。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Dify（AI智能体）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AI智能体/工作流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1.AI智能助手（含Dify工作流）
2.Vanna Text2SQL框架
3.DeepSeek R1 大模型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本地部署Dify开源AI平台搭建智能问数工作流：调用Vanna将自然语言转SQL查询MySQL数据库，返回结果经DeepSeek R1推理模型格式化输出表格、ECharts图表或分析报告。已实现烟农、管理者、维修工三方智能问答，覆盖健康分查询、维修建议、资金分配方案、选址决策、数据智能分析等场景。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数据库（MySQL 8.0）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数据源/数据集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1.共享烤房核心数据库（web_kaoFa）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承载烤房基础档案、部件信息（5大类22项）、预约分配记录、维修工单、健康评分、寿命预测、选址候选点等全量业务数据，Web端与小程序的唯一数据源，支持按手机号关联烟农/技术员/管理者身份，数据实时同步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低代码手机采集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采集表单/采集工具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1.烤房信息采集表单（经纬相机+扫码）
2.烤房巡检与维修留痕采集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依托手机移动端实现烤房新增信息采集（拍照、经纬度、扫码）、巡检评分录入、维修取证拍照等，采集数据经接口实时写入数据库，替代纸质台账。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ECharts / Leaflet·高德地图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可视化组件/GIS引擎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1.Web端内嵌可视化图表
2.烤房GIS地图标注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eastAsia="PingFang SC" w:hAnsi="Arial"/>
                <w:b w:val="false"/>
                <w:bCs w:val="false"/>
                <w:color w:val="333333"/>
                <w:sz w:val="18"/>
                <w:szCs w:val="18"/>
              </w:rPr>
              <w:t xml:space="preserve">Web端内嵌ECharts实现健康热力图、寿命分布图、分配趋势图、维修分析图等实时图表；基于Leaflet/高德地图实现烤房点位标注与健康状态可视化。</w:t>
            </w:r>
          </w:p>
        </w:tc>
      </w:tr>
    </w:tbl>
    <w:p>
      <w:pPr>
        <w:spacing w:before="360"/>
      </w:pPr>
      <w:r>
        <w:rPr>
          <w:rFonts w:ascii="Arial" w:eastAsia="PingFang SC" w:hAnsi="Arial"/>
          <w:b/>
          <w:bCs/>
          <w:color w:val="1A5276"/>
          <w:sz w:val="26"/>
          <w:szCs w:val="26"/>
        </w:rPr>
        <w:t xml:space="preserve">成果物部署与运行环境</w:t>
      </w:r>
    </w:p>
    <w:p>
      <w:pPr>
        <w:spacing w:after="120" w:before="120" w:line="340"/>
        <w:ind w:firstLine="480"/>
        <w:jc w:val="left"/>
      </w:pPr>
      <w:r>
        <w:rPr>
          <w:rFonts w:ascii="Arial" w:eastAsia="PingFang SC" w:hAnsi="Arial"/>
          <w:b w:val="false"/>
          <w:bCs w:val="false"/>
          <w:color w:val="333333"/>
          <w:sz w:val="22"/>
          <w:szCs w:val="22"/>
        </w:rPr>
        <w:t xml:space="preserve">1.系统支撑环境：本地服务器部署，MySQL 8.0数据库、Nginx反向代理、RuoYi后端服务、Vue3前端静态资源、Dify与Vanna服务本地化运行，保障数据不出内网、安全可控。</w:t>
      </w:r>
    </w:p>
    <w:p>
      <w:pPr>
        <w:spacing w:after="120" w:before="120" w:line="340"/>
        <w:ind w:firstLine="480"/>
        <w:jc w:val="left"/>
      </w:pPr>
      <w:r>
        <w:rPr>
          <w:rFonts w:ascii="Arial" w:eastAsia="PingFang SC" w:hAnsi="Arial"/>
          <w:b w:val="false"/>
          <w:bCs w:val="false"/>
          <w:color w:val="333333"/>
          <w:sz w:val="22"/>
          <w:szCs w:val="22"/>
        </w:rPr>
        <w:t xml:space="preserve">2.数据安全：所有业务数据存储于本地服务器内网环境，Dify、DeepSeek、Vanna均支持本地部署，满足《数据安全法》《个人信息保护法》合规要求。</w:t>
      </w:r>
    </w:p>
    <w:p>
      <w:pPr>
        <w:spacing w:after="120" w:before="120" w:line="340"/>
        <w:ind w:firstLine="480"/>
        <w:jc w:val="left"/>
      </w:pPr>
      <w:r>
        <w:rPr>
          <w:rFonts w:ascii="Arial" w:eastAsia="PingFang SC" w:hAnsi="Arial"/>
          <w:b w:val="false"/>
          <w:bCs w:val="false"/>
          <w:color w:val="333333"/>
          <w:sz w:val="22"/>
          <w:szCs w:val="22"/>
        </w:rPr>
        <w:t xml:space="preserve">3.本项目所有算法、系统、看板均由团队自主研发设计，拥有自主知识产权。</w:t>
      </w:r>
    </w:p>
    <w:sectPr>
      <w:head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2026-08-19T08:11:57.905Z</dcterms:created>
  <dcterms:modified xsi:type="dcterms:W3CDTF">2026-08-19T08:11:57.906Z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