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09411">
      <w:pPr>
        <w:adjustRightInd w:val="0"/>
        <w:snapToGrid w:val="0"/>
        <w:spacing w:line="540" w:lineRule="exact"/>
        <w:ind w:firstLine="0" w:firstLineChars="0"/>
        <w:jc w:val="left"/>
        <w:rPr>
          <w:rFonts w:hint="eastAsia" w:ascii="黑体" w:hAnsi="黑体" w:eastAsia="黑体" w:cs="黑体"/>
          <w:sz w:val="30"/>
          <w:szCs w:val="30"/>
          <w14:ligatures w14:val="none"/>
        </w:rPr>
      </w:pPr>
      <w:r>
        <w:rPr>
          <w:rFonts w:hint="eastAsia" w:ascii="黑体" w:hAnsi="黑体" w:eastAsia="黑体" w:cs="黑体"/>
          <w:sz w:val="30"/>
          <w:szCs w:val="30"/>
          <w14:ligatures w14:val="none"/>
        </w:rPr>
        <w:t>附件2</w:t>
      </w:r>
    </w:p>
    <w:p w14:paraId="3F3D2D50">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p>
    <w:p w14:paraId="29002770">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p>
    <w:p w14:paraId="05F5B135">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p>
    <w:p w14:paraId="3D9BF69A">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p>
    <w:p w14:paraId="23503C34">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r>
        <w:rPr>
          <w:rFonts w:hint="eastAsia" w:ascii="方正小标宋简体" w:hAnsi="华文中宋" w:eastAsia="方正小标宋简体" w:cs="Times New Roman"/>
          <w:sz w:val="44"/>
          <w:szCs w:val="44"/>
          <w14:ligatures w14:val="none"/>
        </w:rPr>
        <w:t>2026年数字化转型创客大赛</w:t>
      </w:r>
    </w:p>
    <w:p w14:paraId="58224A97">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r>
        <w:rPr>
          <w:rFonts w:hint="eastAsia" w:ascii="方正小标宋简体" w:hAnsi="华文中宋" w:eastAsia="方正小标宋简体" w:cs="Times New Roman"/>
          <w:sz w:val="44"/>
          <w:szCs w:val="44"/>
          <w14:ligatures w14:val="none"/>
        </w:rPr>
        <w:t>数创成果报告</w:t>
      </w:r>
    </w:p>
    <w:p w14:paraId="3694696F">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769D9459">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1651100C">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3EE15D9F">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66D17E9E">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0DF355C8">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4B2EA017">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56C0624E">
      <w:pPr>
        <w:adjustRightInd w:val="0"/>
        <w:snapToGrid w:val="0"/>
        <w:spacing w:line="540" w:lineRule="exact"/>
        <w:ind w:firstLine="900" w:firstLineChars="300"/>
        <w:rPr>
          <w:rFonts w:hint="eastAsia" w:ascii="方正仿宋" w:hAnsi="黑体" w:eastAsia="方正仿宋" w:cs="Times New Roman"/>
          <w:sz w:val="30"/>
          <w:szCs w:val="30"/>
          <w14:ligatures w14:val="none"/>
        </w:rPr>
      </w:pPr>
    </w:p>
    <w:p w14:paraId="2D881CE9">
      <w:pPr>
        <w:adjustRightInd w:val="0"/>
        <w:snapToGrid w:val="0"/>
        <w:spacing w:line="540" w:lineRule="exact"/>
        <w:ind w:firstLine="900" w:firstLineChars="300"/>
        <w:rPr>
          <w:rFonts w:hint="eastAsia" w:ascii="方正仿宋" w:hAnsi="黑体" w:eastAsia="方正仿宋" w:cs="Times New Roman"/>
          <w:sz w:val="30"/>
          <w:szCs w:val="30"/>
          <w:u w:val="single"/>
          <w14:ligatures w14:val="none"/>
        </w:rPr>
      </w:pPr>
      <w:r>
        <w:rPr>
          <w:rFonts w:hint="eastAsia" w:ascii="方正仿宋" w:hAnsi="黑体" w:eastAsia="方正仿宋" w:cs="Times New Roman"/>
          <w:sz w:val="30"/>
          <w:szCs w:val="30"/>
          <w14:ligatures w14:val="none"/>
        </w:rPr>
        <w:t>成 果 名 称：</w:t>
      </w:r>
      <w:r>
        <w:rPr>
          <w:rFonts w:hint="eastAsia" w:ascii="方正仿宋" w:hAnsi="黑体" w:eastAsia="方正仿宋" w:cs="Times New Roman"/>
          <w:sz w:val="30"/>
          <w:szCs w:val="30"/>
          <w:u w:val="single"/>
          <w14:ligatures w14:val="none"/>
        </w:rPr>
        <w:t xml:space="preserve">聚数致远，‘三智’融合的烤房专业管家                               </w:t>
      </w:r>
    </w:p>
    <w:p w14:paraId="59C9D090">
      <w:pPr>
        <w:adjustRightInd w:val="0"/>
        <w:snapToGrid w:val="0"/>
        <w:spacing w:line="540" w:lineRule="exact"/>
        <w:ind w:firstLine="900" w:firstLineChars="300"/>
        <w:rPr>
          <w:rFonts w:hint="eastAsia" w:ascii="仿宋_GB2312" w:hAnsi="仿宋_GB2312" w:cs="仿宋_GB2312"/>
          <w:sz w:val="30"/>
          <w:szCs w:val="30"/>
          <w:u w:val="single"/>
          <w14:ligatures w14:val="none"/>
        </w:rPr>
      </w:pPr>
      <w:r>
        <w:rPr>
          <w:rFonts w:hint="eastAsia" w:ascii="方正仿宋" w:hAnsi="黑体" w:eastAsia="方正仿宋" w:cs="Times New Roman"/>
          <w:sz w:val="30"/>
          <w:szCs w:val="30"/>
          <w14:ligatures w14:val="none"/>
        </w:rPr>
        <w:t>成 果 类 别：</w:t>
      </w:r>
      <w:r>
        <w:rPr>
          <w:rFonts w:hint="eastAsia" w:ascii="仿宋_GB2312" w:hAnsi="仿宋_GB2312" w:cs="仿宋_GB2312"/>
          <w:sz w:val="30"/>
          <w:szCs w:val="30"/>
          <w:u w:val="single"/>
          <w14:ligatures w14:val="none"/>
        </w:rPr>
        <w:t xml:space="preserve">           小微应用封装成果                      </w:t>
      </w:r>
    </w:p>
    <w:p w14:paraId="2E530DD0">
      <w:pPr>
        <w:adjustRightInd w:val="0"/>
        <w:snapToGrid w:val="0"/>
        <w:spacing w:line="540" w:lineRule="exact"/>
        <w:ind w:firstLine="900" w:firstLineChars="300"/>
        <w:rPr>
          <w:rFonts w:hint="eastAsia" w:ascii="方正仿宋" w:hAnsi="黑体" w:eastAsia="方正仿宋" w:cs="Times New Roman"/>
          <w:sz w:val="30"/>
          <w:szCs w:val="30"/>
          <w14:ligatures w14:val="none"/>
        </w:rPr>
      </w:pPr>
      <w:r>
        <w:rPr>
          <w:rFonts w:hint="eastAsia" w:ascii="方正仿宋" w:hAnsi="黑体" w:eastAsia="方正仿宋" w:cs="Times New Roman"/>
          <w:sz w:val="30"/>
          <w:szCs w:val="30"/>
          <w14:ligatures w14:val="none"/>
        </w:rPr>
        <w:t>参 赛业务域：</w:t>
      </w:r>
      <w:r>
        <w:rPr>
          <w:rFonts w:hint="eastAsia" w:ascii="方正仿宋" w:hAnsi="黑体" w:eastAsia="方正仿宋" w:cs="Times New Roman"/>
          <w:sz w:val="30"/>
          <w:szCs w:val="30"/>
          <w:u w:val="single"/>
          <w14:ligatures w14:val="none"/>
        </w:rPr>
        <w:t xml:space="preserve">                 烟叶                </w:t>
      </w:r>
    </w:p>
    <w:p w14:paraId="4345B4D0">
      <w:pPr>
        <w:adjustRightInd w:val="0"/>
        <w:snapToGrid w:val="0"/>
        <w:spacing w:line="540" w:lineRule="exact"/>
        <w:ind w:firstLine="900" w:firstLineChars="300"/>
        <w:rPr>
          <w:rFonts w:hint="eastAsia" w:ascii="方正仿宋" w:hAnsi="黑体" w:eastAsia="方正仿宋" w:cs="Times New Roman"/>
          <w:sz w:val="30"/>
          <w:szCs w:val="30"/>
          <w14:ligatures w14:val="none"/>
        </w:rPr>
      </w:pPr>
      <w:r>
        <w:rPr>
          <w:rFonts w:hint="eastAsia" w:ascii="方正仿宋" w:hAnsi="黑体" w:eastAsia="方正仿宋" w:cs="Times New Roman"/>
          <w:sz w:val="30"/>
          <w:szCs w:val="30"/>
          <w14:ligatures w14:val="none"/>
        </w:rPr>
        <w:t>参 赛 单 位：</w:t>
      </w:r>
      <w:r>
        <w:rPr>
          <w:rFonts w:hint="eastAsia" w:ascii="方正仿宋" w:hAnsi="黑体" w:eastAsia="方正仿宋" w:cs="Times New Roman"/>
          <w:sz w:val="30"/>
          <w:szCs w:val="30"/>
          <w:u w:val="single"/>
          <w14:ligatures w14:val="none"/>
        </w:rPr>
        <w:t xml:space="preserve">              宜昌市局      </w:t>
      </w:r>
      <w:r>
        <w:rPr>
          <w:rFonts w:hint="eastAsia" w:ascii="仿宋_GB2312" w:hAnsi="仿宋_GB2312" w:cs="仿宋_GB2312"/>
          <w:sz w:val="30"/>
          <w:szCs w:val="30"/>
          <w:u w:val="single"/>
          <w14:ligatures w14:val="none"/>
        </w:rPr>
        <w:t xml:space="preserve"> （盖章）</w:t>
      </w:r>
    </w:p>
    <w:p w14:paraId="643657A4">
      <w:pPr>
        <w:adjustRightInd w:val="0"/>
        <w:snapToGrid w:val="0"/>
        <w:spacing w:line="540" w:lineRule="exact"/>
        <w:ind w:firstLine="900" w:firstLineChars="300"/>
        <w:rPr>
          <w:rFonts w:hint="eastAsia" w:ascii="仿宋_GB2312" w:hAnsi="仿宋_GB2312" w:cs="仿宋_GB2312"/>
          <w:sz w:val="30"/>
          <w:szCs w:val="30"/>
          <w:u w:val="single"/>
          <w14:ligatures w14:val="none"/>
        </w:rPr>
      </w:pPr>
      <w:r>
        <w:rPr>
          <w:rFonts w:hint="eastAsia" w:ascii="方正仿宋" w:hAnsi="黑体" w:eastAsia="方正仿宋" w:cs="Times New Roman"/>
          <w:sz w:val="30"/>
          <w:szCs w:val="30"/>
          <w14:ligatures w14:val="none"/>
        </w:rPr>
        <w:t>日       期：</w:t>
      </w:r>
      <w:r>
        <w:rPr>
          <w:rFonts w:hint="eastAsia" w:ascii="仿宋_GB2312" w:hAnsi="仿宋_GB2312" w:cs="仿宋_GB2312"/>
          <w:sz w:val="30"/>
          <w:szCs w:val="30"/>
          <w:u w:val="single"/>
          <w14:ligatures w14:val="none"/>
        </w:rPr>
        <w:t xml:space="preserve">                                     </w:t>
      </w:r>
    </w:p>
    <w:p w14:paraId="13CD24BE">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p>
    <w:p w14:paraId="400751A8">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p>
    <w:p w14:paraId="73D4828E">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p>
    <w:p w14:paraId="3AA16A56">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p>
    <w:p w14:paraId="5D793CAF">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p>
    <w:p w14:paraId="0F19DE71">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r>
        <w:rPr>
          <w:rFonts w:hint="eastAsia" w:ascii="方正小标宋简体" w:hAnsi="Calibri" w:eastAsia="方正小标宋简体" w:cs="Times New Roman"/>
          <w:bCs/>
          <w:sz w:val="36"/>
          <w:szCs w:val="36"/>
          <w14:ligatures w14:val="none"/>
        </w:rPr>
        <w:t>填 报 说 明</w:t>
      </w:r>
    </w:p>
    <w:p w14:paraId="6E7758DC">
      <w:pPr>
        <w:spacing w:line="540" w:lineRule="exact"/>
        <w:ind w:firstLine="0" w:firstLineChars="0"/>
        <w:jc w:val="center"/>
        <w:rPr>
          <w:rFonts w:ascii="Calibri" w:hAnsi="Calibri" w:cs="Times New Roman"/>
          <w:sz w:val="21"/>
          <w:szCs w:val="21"/>
          <w14:ligatures w14:val="none"/>
        </w:rPr>
      </w:pPr>
    </w:p>
    <w:p w14:paraId="7398D885">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一、参加湖北烟草商业系统2026年度数字化转型创客大赛的单位，提交数字化创新成果时，应同步提交本报告。</w:t>
      </w:r>
    </w:p>
    <w:p w14:paraId="49B75609">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二、数创成果名称应与申报的参赛题目名称一致。</w:t>
      </w:r>
    </w:p>
    <w:p w14:paraId="196C6A84">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三、数创成果类别：数据可视化展现成果、数据算法模型成果、小微应用封装成果等。</w:t>
      </w:r>
    </w:p>
    <w:p w14:paraId="6F3F1C39">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四、各单位根据数创成果研发实际，可适当对正文目录内容进行增减及合并。</w:t>
      </w:r>
    </w:p>
    <w:p w14:paraId="632AA17A">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五、成果说明注意事项：各单位根据所选题目方向，从“技术实现”和“管理优化”两个方面选择说明。</w:t>
      </w:r>
    </w:p>
    <w:p w14:paraId="7581BF60">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1.“技术实现”主要包括“技术路线”（工具选择和数据来源），“算法设计”（建立的模型、采用的算法及输入输出结果），“方法过程”（形成数创成果的方法、步骤及其分析、设计、实现、优化等）。</w:t>
      </w:r>
    </w:p>
    <w:p w14:paraId="0D97C1F6">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2.“管理优化”主要介绍在数创成果中，以数据要素驱动组织架构、业务流程、制度标准等整合优化的架构设计、理论依据、技术支撑、逻辑运行等内容。</w:t>
      </w:r>
    </w:p>
    <w:p w14:paraId="11F8A60E">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六、数创成果报告应双面打印；报送加盖公章的电子版扫描件和对应word格式原件。</w:t>
      </w:r>
    </w:p>
    <w:p w14:paraId="0B071698">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七、数创成果说明应简明扼要，重点聚焦数据应用实际成效、成果落地推广价值、经营管理提质增效作用等，正文全文控制在4000字以内。</w:t>
      </w:r>
    </w:p>
    <w:p w14:paraId="29FA7ED7">
      <w:pPr>
        <w:spacing w:line="540" w:lineRule="exact"/>
        <w:ind w:firstLine="0" w:firstLineChars="0"/>
        <w:rPr>
          <w:rFonts w:eastAsia="方正仿宋" w:cs="Times New Roman"/>
          <w:szCs w:val="32"/>
          <w14:ligatures w14:val="none"/>
        </w:rPr>
      </w:pPr>
    </w:p>
    <w:p w14:paraId="09E0CBBC">
      <w:pPr>
        <w:spacing w:line="540" w:lineRule="exact"/>
        <w:ind w:firstLine="0" w:firstLineChars="0"/>
        <w:rPr>
          <w:rFonts w:eastAsia="方正仿宋" w:cs="Times New Roman"/>
          <w:szCs w:val="32"/>
          <w14:ligatures w14:val="none"/>
        </w:rPr>
      </w:pPr>
    </w:p>
    <w:p w14:paraId="0FF4A5AB">
      <w:pPr>
        <w:spacing w:line="540" w:lineRule="exact"/>
        <w:ind w:firstLine="0" w:firstLineChars="0"/>
        <w:rPr>
          <w:rFonts w:eastAsia="方正仿宋" w:cs="Times New Roman"/>
          <w:szCs w:val="32"/>
          <w14:ligatures w14:val="none"/>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
        <w:gridCol w:w="800"/>
        <w:gridCol w:w="1183"/>
        <w:gridCol w:w="1055"/>
        <w:gridCol w:w="1603"/>
        <w:gridCol w:w="1898"/>
        <w:gridCol w:w="1055"/>
      </w:tblGrid>
      <w:tr w14:paraId="6B257246">
        <w:trPr>
          <w:trHeight w:val="505" w:hRule="atLeast"/>
          <w:tblHeader/>
          <w:jc w:val="center"/>
        </w:trPr>
        <w:tc>
          <w:tcPr>
            <w:tcW w:w="0" w:type="auto"/>
            <w:gridSpan w:val="7"/>
            <w:vAlign w:val="center"/>
          </w:tcPr>
          <w:p w14:paraId="378457B4">
            <w:pPr>
              <w:spacing w:line="540" w:lineRule="exact"/>
              <w:ind w:firstLine="0" w:firstLineChars="0"/>
              <w:jc w:val="center"/>
              <w:rPr>
                <w:rFonts w:hint="eastAsia" w:ascii="黑体" w:hAnsi="黑体" w:eastAsia="黑体" w:cs="Times New Roman"/>
                <w:sz w:val="24"/>
                <w14:ligatures w14:val="none"/>
              </w:rPr>
            </w:pPr>
            <w:r>
              <w:rPr>
                <w:rFonts w:hint="eastAsia" w:ascii="黑体" w:hAnsi="黑体" w:eastAsia="黑体" w:cs="Times New Roman"/>
                <w:sz w:val="24"/>
                <w14:ligatures w14:val="none"/>
              </w:rPr>
              <w:t>数创成果报告简要概况</w:t>
            </w:r>
          </w:p>
        </w:tc>
      </w:tr>
      <w:tr w14:paraId="4078FE4B">
        <w:trPr>
          <w:trHeight w:val="505" w:hRule="atLeast"/>
          <w:jc w:val="center"/>
        </w:trPr>
        <w:tc>
          <w:tcPr>
            <w:tcW w:w="0" w:type="auto"/>
            <w:gridSpan w:val="7"/>
            <w:vAlign w:val="center"/>
          </w:tcPr>
          <w:p w14:paraId="169DD820">
            <w:pPr>
              <w:spacing w:line="540" w:lineRule="exact"/>
              <w:ind w:firstLine="0" w:firstLineChars="0"/>
              <w:jc w:val="left"/>
              <w:rPr>
                <w:rFonts w:hint="eastAsia" w:ascii="黑体" w:hAnsi="黑体" w:eastAsia="黑体" w:cs="Times New Roman"/>
                <w:sz w:val="21"/>
                <w:szCs w:val="21"/>
                <w14:ligatures w14:val="none"/>
              </w:rPr>
            </w:pPr>
            <w:r>
              <w:rPr>
                <w:rFonts w:hint="eastAsia" w:ascii="黑体" w:hAnsi="黑体" w:eastAsia="黑体" w:cs="Times New Roman"/>
                <w:sz w:val="21"/>
                <w:szCs w:val="21"/>
                <w14:ligatures w14:val="none"/>
              </w:rPr>
              <w:t>团队概况</w:t>
            </w:r>
          </w:p>
        </w:tc>
      </w:tr>
      <w:tr w14:paraId="0A8362CC">
        <w:trPr>
          <w:trHeight w:val="505" w:hRule="atLeast"/>
          <w:jc w:val="center"/>
        </w:trPr>
        <w:tc>
          <w:tcPr>
            <w:tcW w:w="0" w:type="auto"/>
            <w:vAlign w:val="center"/>
          </w:tcPr>
          <w:p w14:paraId="7CC065B3">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姓名</w:t>
            </w:r>
          </w:p>
        </w:tc>
        <w:tc>
          <w:tcPr>
            <w:tcW w:w="0" w:type="auto"/>
            <w:vAlign w:val="center"/>
          </w:tcPr>
          <w:p w14:paraId="7C0A77CA">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性别</w:t>
            </w:r>
          </w:p>
        </w:tc>
        <w:tc>
          <w:tcPr>
            <w:tcW w:w="0" w:type="auto"/>
            <w:vAlign w:val="center"/>
          </w:tcPr>
          <w:p w14:paraId="38A272A6">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学历</w:t>
            </w:r>
          </w:p>
        </w:tc>
        <w:tc>
          <w:tcPr>
            <w:tcW w:w="0" w:type="auto"/>
            <w:vAlign w:val="center"/>
          </w:tcPr>
          <w:p w14:paraId="4B15244B">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专业</w:t>
            </w:r>
          </w:p>
        </w:tc>
        <w:tc>
          <w:tcPr>
            <w:tcW w:w="0" w:type="auto"/>
            <w:vAlign w:val="center"/>
          </w:tcPr>
          <w:p w14:paraId="051E30DC">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技术职称/技能等级</w:t>
            </w:r>
          </w:p>
        </w:tc>
        <w:tc>
          <w:tcPr>
            <w:tcW w:w="0" w:type="auto"/>
            <w:vAlign w:val="center"/>
          </w:tcPr>
          <w:p w14:paraId="724512B4">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团队分工</w:t>
            </w:r>
          </w:p>
        </w:tc>
        <w:tc>
          <w:tcPr>
            <w:tcW w:w="0" w:type="auto"/>
            <w:vAlign w:val="center"/>
          </w:tcPr>
          <w:p w14:paraId="5EEB78BA">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团队职务</w:t>
            </w:r>
          </w:p>
        </w:tc>
      </w:tr>
      <w:tr w14:paraId="38691377">
        <w:trPr>
          <w:trHeight w:val="505" w:hRule="atLeast"/>
          <w:jc w:val="center"/>
        </w:trPr>
        <w:tc>
          <w:tcPr>
            <w:tcW w:w="0" w:type="auto"/>
            <w:vAlign w:val="center"/>
          </w:tcPr>
          <w:p w14:paraId="6D71DCCF">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董贤春</w:t>
            </w:r>
          </w:p>
        </w:tc>
        <w:tc>
          <w:tcPr>
            <w:tcW w:w="0" w:type="auto"/>
            <w:vAlign w:val="center"/>
          </w:tcPr>
          <w:p w14:paraId="4430F3F3">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男</w:t>
            </w:r>
          </w:p>
        </w:tc>
        <w:tc>
          <w:tcPr>
            <w:tcW w:w="0" w:type="auto"/>
            <w:vAlign w:val="center"/>
          </w:tcPr>
          <w:p w14:paraId="250B89C5">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46B111E6">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12087B66">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6A72BF89">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4F2ACF8C">
            <w:pPr>
              <w:spacing w:line="540" w:lineRule="exact"/>
              <w:ind w:firstLine="0" w:firstLineChars="0"/>
              <w:jc w:val="left"/>
              <w:rPr>
                <w:rFonts w:hint="eastAsia" w:ascii="宋体" w:hAnsi="宋体" w:eastAsia="宋体" w:cs="Times New Roman"/>
                <w:sz w:val="21"/>
                <w:szCs w:val="21"/>
                <w14:ligatures w14:val="none"/>
              </w:rPr>
            </w:pPr>
          </w:p>
        </w:tc>
      </w:tr>
      <w:tr w14:paraId="51CB9242">
        <w:trPr>
          <w:trHeight w:val="505" w:hRule="atLeast"/>
          <w:jc w:val="center"/>
        </w:trPr>
        <w:tc>
          <w:tcPr>
            <w:tcW w:w="0" w:type="auto"/>
            <w:vAlign w:val="center"/>
          </w:tcPr>
          <w:p w14:paraId="321C7B65">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胡浩博</w:t>
            </w:r>
          </w:p>
        </w:tc>
        <w:tc>
          <w:tcPr>
            <w:tcW w:w="0" w:type="auto"/>
            <w:vAlign w:val="center"/>
          </w:tcPr>
          <w:p w14:paraId="09B6B041">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男</w:t>
            </w:r>
          </w:p>
        </w:tc>
        <w:tc>
          <w:tcPr>
            <w:tcW w:w="0" w:type="auto"/>
            <w:vAlign w:val="center"/>
          </w:tcPr>
          <w:p w14:paraId="409469EE">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硕士研究生</w:t>
            </w:r>
          </w:p>
        </w:tc>
        <w:tc>
          <w:tcPr>
            <w:tcW w:w="0" w:type="auto"/>
            <w:vAlign w:val="center"/>
          </w:tcPr>
          <w:p w14:paraId="18B0B1C5">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软件工程</w:t>
            </w:r>
          </w:p>
        </w:tc>
        <w:tc>
          <w:tcPr>
            <w:tcW w:w="0" w:type="auto"/>
            <w:vAlign w:val="center"/>
          </w:tcPr>
          <w:p w14:paraId="4DA09208">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助理工程师</w:t>
            </w:r>
          </w:p>
        </w:tc>
        <w:tc>
          <w:tcPr>
            <w:tcW w:w="0" w:type="auto"/>
            <w:vAlign w:val="center"/>
          </w:tcPr>
          <w:p w14:paraId="240F10FA">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技术开发、文档攥写</w:t>
            </w:r>
          </w:p>
        </w:tc>
        <w:tc>
          <w:tcPr>
            <w:tcW w:w="0" w:type="auto"/>
            <w:vAlign w:val="center"/>
          </w:tcPr>
          <w:p w14:paraId="710B1904">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组员</w:t>
            </w:r>
          </w:p>
        </w:tc>
      </w:tr>
      <w:tr w14:paraId="77D22322">
        <w:trPr>
          <w:trHeight w:val="505" w:hRule="atLeast"/>
          <w:jc w:val="center"/>
        </w:trPr>
        <w:tc>
          <w:tcPr>
            <w:tcW w:w="0" w:type="auto"/>
            <w:vAlign w:val="center"/>
          </w:tcPr>
          <w:p w14:paraId="09B6C5B9">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余文杰</w:t>
            </w:r>
          </w:p>
        </w:tc>
        <w:tc>
          <w:tcPr>
            <w:tcW w:w="0" w:type="auto"/>
            <w:vAlign w:val="center"/>
          </w:tcPr>
          <w:p w14:paraId="43CBF238">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女</w:t>
            </w:r>
          </w:p>
        </w:tc>
        <w:tc>
          <w:tcPr>
            <w:tcW w:w="0" w:type="auto"/>
            <w:vAlign w:val="center"/>
          </w:tcPr>
          <w:p w14:paraId="02182809">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73C4A500">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59FAF8FF">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0C2F331E">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09C8CFA2">
            <w:pPr>
              <w:spacing w:line="540" w:lineRule="exact"/>
              <w:ind w:firstLine="0" w:firstLineChars="0"/>
              <w:jc w:val="left"/>
              <w:rPr>
                <w:rFonts w:hint="eastAsia" w:ascii="宋体" w:hAnsi="宋体" w:eastAsia="宋体" w:cs="Times New Roman"/>
                <w:sz w:val="21"/>
                <w:szCs w:val="21"/>
                <w14:ligatures w14:val="none"/>
              </w:rPr>
            </w:pPr>
          </w:p>
        </w:tc>
      </w:tr>
      <w:tr w14:paraId="23099100">
        <w:trPr>
          <w:trHeight w:val="505" w:hRule="atLeast"/>
          <w:jc w:val="center"/>
        </w:trPr>
        <w:tc>
          <w:tcPr>
            <w:tcW w:w="0" w:type="auto"/>
            <w:vAlign w:val="center"/>
          </w:tcPr>
          <w:p w14:paraId="539AD2C6">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徐原</w:t>
            </w:r>
          </w:p>
        </w:tc>
        <w:tc>
          <w:tcPr>
            <w:tcW w:w="0" w:type="auto"/>
            <w:vAlign w:val="center"/>
          </w:tcPr>
          <w:p w14:paraId="7594E6D8">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男</w:t>
            </w:r>
          </w:p>
        </w:tc>
        <w:tc>
          <w:tcPr>
            <w:tcW w:w="0" w:type="auto"/>
            <w:vAlign w:val="center"/>
          </w:tcPr>
          <w:p w14:paraId="6C68E267">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0EC28607">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579C70B7">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279D02D6">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4D8283DD">
            <w:pPr>
              <w:spacing w:line="540" w:lineRule="exact"/>
              <w:ind w:firstLine="0" w:firstLineChars="0"/>
              <w:jc w:val="left"/>
              <w:rPr>
                <w:rFonts w:hint="eastAsia" w:ascii="宋体" w:hAnsi="宋体" w:eastAsia="宋体" w:cs="Times New Roman"/>
                <w:sz w:val="21"/>
                <w:szCs w:val="21"/>
                <w14:ligatures w14:val="none"/>
              </w:rPr>
            </w:pPr>
          </w:p>
        </w:tc>
      </w:tr>
      <w:tr w14:paraId="0B033880">
        <w:trPr>
          <w:trHeight w:val="505" w:hRule="atLeast"/>
          <w:jc w:val="center"/>
        </w:trPr>
        <w:tc>
          <w:tcPr>
            <w:tcW w:w="0" w:type="auto"/>
            <w:vAlign w:val="center"/>
          </w:tcPr>
          <w:p w14:paraId="410C6D10">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卢威</w:t>
            </w:r>
          </w:p>
        </w:tc>
        <w:tc>
          <w:tcPr>
            <w:tcW w:w="0" w:type="auto"/>
            <w:vAlign w:val="center"/>
          </w:tcPr>
          <w:p w14:paraId="14C0E445">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女</w:t>
            </w:r>
          </w:p>
        </w:tc>
        <w:tc>
          <w:tcPr>
            <w:tcW w:w="0" w:type="auto"/>
            <w:vAlign w:val="center"/>
          </w:tcPr>
          <w:p w14:paraId="4701DC4B">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2D6D100D">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4C0D7E4A">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3CB2C63C">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316BAE1C">
            <w:pPr>
              <w:spacing w:line="540" w:lineRule="exact"/>
              <w:ind w:firstLine="0" w:firstLineChars="0"/>
              <w:jc w:val="left"/>
              <w:rPr>
                <w:rFonts w:hint="eastAsia" w:ascii="宋体" w:hAnsi="宋体" w:eastAsia="宋体" w:cs="Times New Roman"/>
                <w:sz w:val="21"/>
                <w:szCs w:val="21"/>
                <w14:ligatures w14:val="none"/>
              </w:rPr>
            </w:pPr>
          </w:p>
        </w:tc>
      </w:tr>
      <w:tr w14:paraId="7D6E101D">
        <w:trPr>
          <w:trHeight w:val="505" w:hRule="atLeast"/>
          <w:jc w:val="center"/>
        </w:trPr>
        <w:tc>
          <w:tcPr>
            <w:tcW w:w="0" w:type="auto"/>
            <w:gridSpan w:val="7"/>
            <w:vAlign w:val="center"/>
          </w:tcPr>
          <w:p w14:paraId="159B2F30">
            <w:pPr>
              <w:spacing w:line="540" w:lineRule="exact"/>
              <w:ind w:firstLine="0" w:firstLineChars="0"/>
              <w:jc w:val="left"/>
              <w:rPr>
                <w:rFonts w:hint="eastAsia" w:ascii="黑体" w:hAnsi="黑体" w:eastAsia="黑体" w:cs="Times New Roman"/>
                <w:sz w:val="21"/>
                <w:szCs w:val="21"/>
                <w14:ligatures w14:val="none"/>
              </w:rPr>
            </w:pPr>
            <w:r>
              <w:rPr>
                <w:rFonts w:hint="eastAsia" w:ascii="黑体" w:hAnsi="黑体" w:eastAsia="黑体" w:cs="Times New Roman"/>
                <w:sz w:val="21"/>
                <w:szCs w:val="21"/>
                <w14:ligatures w14:val="none"/>
              </w:rPr>
              <w:t>作品（成果）名称及简介（200字以内）</w:t>
            </w:r>
          </w:p>
        </w:tc>
      </w:tr>
      <w:tr w14:paraId="2DA1905C">
        <w:trPr>
          <w:trHeight w:val="696" w:hRule="atLeast"/>
          <w:jc w:val="center"/>
        </w:trPr>
        <w:tc>
          <w:tcPr>
            <w:tcW w:w="0" w:type="auto"/>
            <w:gridSpan w:val="7"/>
          </w:tcPr>
          <w:p w14:paraId="026D13E9">
            <w:pPr>
              <w:ind w:firstLine="420"/>
              <w:rPr>
                <w:rFonts w:hint="eastAsia" w:ascii="宋体" w:hAnsi="宋体" w:cs="Times New Roman"/>
                <w:sz w:val="21"/>
                <w:szCs w:val="21"/>
                <w14:ligatures w14:val="none"/>
              </w:rPr>
            </w:pPr>
            <w:r>
              <w:rPr>
                <w:rFonts w:hint="eastAsia" w:ascii="宋体" w:hAnsi="宋体" w:eastAsia="宋体"/>
                <w:sz w:val="21"/>
                <w:szCs w:val="21"/>
              </w:rPr>
              <w:t>项目组提出建设“聚数致远，‘三智’融合的烤房专业管家”，聚焦宜昌烟区烤房调剂难、抢修慢、建设修复依据不足和合作社管护不规范等问题。平台以烤房基础数据库为支撑，通过健康评估模型计算健康分、剩余寿命和风险部位，通过村级发展导引模型科学提供新建烤房依据。推动烤房管理由经验判断转向数据决策、由线下分散转向线上协同，提升设施利用、烟农服务和合作社管理质效。</w:t>
            </w:r>
          </w:p>
        </w:tc>
      </w:tr>
      <w:tr w14:paraId="735117D0">
        <w:trPr>
          <w:trHeight w:val="566" w:hRule="atLeast"/>
          <w:jc w:val="center"/>
        </w:trPr>
        <w:tc>
          <w:tcPr>
            <w:tcW w:w="0" w:type="auto"/>
            <w:gridSpan w:val="7"/>
            <w:vAlign w:val="center"/>
          </w:tcPr>
          <w:p w14:paraId="2A2BF48A">
            <w:pPr>
              <w:spacing w:line="540" w:lineRule="exact"/>
              <w:ind w:firstLine="0" w:firstLineChars="0"/>
              <w:jc w:val="left"/>
              <w:rPr>
                <w:rFonts w:hint="eastAsia" w:ascii="黑体" w:hAnsi="黑体" w:eastAsia="黑体" w:cs="Times New Roman"/>
                <w:sz w:val="21"/>
                <w:szCs w:val="21"/>
                <w14:ligatures w14:val="none"/>
              </w:rPr>
            </w:pPr>
            <w:r>
              <w:rPr>
                <w:rFonts w:hint="eastAsia" w:ascii="黑体" w:hAnsi="黑体" w:eastAsia="黑体" w:cs="Times New Roman"/>
                <w:sz w:val="21"/>
                <w:szCs w:val="21"/>
                <w14:ligatures w14:val="none"/>
              </w:rPr>
              <w:t>设定目标（200字以内）</w:t>
            </w:r>
          </w:p>
        </w:tc>
      </w:tr>
      <w:tr w14:paraId="19D0A3DE">
        <w:trPr>
          <w:trHeight w:val="595" w:hRule="atLeast"/>
          <w:jc w:val="center"/>
        </w:trPr>
        <w:tc>
          <w:tcPr>
            <w:tcW w:w="0" w:type="auto"/>
            <w:gridSpan w:val="7"/>
          </w:tcPr>
          <w:p w14:paraId="4BB8888F">
            <w:pPr>
              <w:ind w:firstLine="420"/>
              <w:rPr>
                <w:rFonts w:hint="eastAsia" w:ascii="宋体" w:hAnsi="宋体" w:eastAsia="宋体"/>
                <w:sz w:val="21"/>
                <w:szCs w:val="21"/>
              </w:rPr>
            </w:pPr>
            <w:r>
              <w:rPr>
                <w:rFonts w:hint="eastAsia" w:ascii="宋体" w:hAnsi="宋体" w:eastAsia="宋体"/>
                <w:sz w:val="21"/>
                <w:szCs w:val="21"/>
              </w:rPr>
              <w:t>该项目拟在宜昌市秭归烟区开展应用：</w:t>
            </w:r>
          </w:p>
          <w:p w14:paraId="015BA321">
            <w:pPr>
              <w:ind w:firstLine="420"/>
              <w:rPr>
                <w:rFonts w:hint="eastAsia" w:ascii="宋体" w:hAnsi="宋体" w:eastAsia="宋体"/>
                <w:sz w:val="21"/>
                <w:szCs w:val="21"/>
              </w:rPr>
            </w:pPr>
            <w:r>
              <w:rPr>
                <w:rFonts w:hint="eastAsia" w:ascii="宋体" w:hAnsi="宋体" w:eastAsia="宋体"/>
                <w:sz w:val="21"/>
                <w:szCs w:val="21"/>
              </w:rPr>
              <w:t>1.烤房数据库：100%覆盖现有可用烤房，不低于1600栋；形成健康评价及统计看板，行业部门可有效查询、分级查询；</w:t>
            </w:r>
          </w:p>
          <w:p w14:paraId="338DDFE9">
            <w:pPr>
              <w:ind w:firstLine="420"/>
              <w:rPr>
                <w:rFonts w:hint="eastAsia" w:ascii="宋体" w:hAnsi="宋体" w:eastAsia="宋体"/>
                <w:sz w:val="21"/>
                <w:szCs w:val="21"/>
              </w:rPr>
            </w:pPr>
            <w:r>
              <w:rPr>
                <w:rFonts w:hint="eastAsia" w:ascii="宋体" w:hAnsi="宋体" w:eastAsia="宋体"/>
                <w:sz w:val="21"/>
                <w:szCs w:val="21"/>
              </w:rPr>
              <w:t>2.健全管护制度，出台管护标准，流程清晰；合作社服务队各司其职，管护成本降低，管护效率提升，统一管护的在用烤房占比65%以上。</w:t>
            </w:r>
          </w:p>
          <w:p w14:paraId="090B83EC">
            <w:pPr>
              <w:ind w:firstLine="420"/>
              <w:rPr>
                <w:rFonts w:hint="eastAsia" w:ascii="宋体" w:hAnsi="宋体" w:eastAsia="宋体"/>
                <w:sz w:val="21"/>
                <w:szCs w:val="21"/>
              </w:rPr>
            </w:pPr>
            <w:r>
              <w:rPr>
                <w:rFonts w:hint="eastAsia" w:ascii="宋体" w:hAnsi="宋体" w:eastAsia="宋体"/>
                <w:sz w:val="21"/>
                <w:szCs w:val="21"/>
              </w:rPr>
              <w:t>3.调剂和抢修响应时间：控制在0.5小时以内；临时需求满足，烟农烤房使用满意度提升到95%以上。</w:t>
            </w:r>
          </w:p>
        </w:tc>
      </w:tr>
      <w:tr w14:paraId="392E7F9D">
        <w:trPr>
          <w:trHeight w:val="566" w:hRule="atLeast"/>
          <w:jc w:val="center"/>
        </w:trPr>
        <w:tc>
          <w:tcPr>
            <w:tcW w:w="0" w:type="auto"/>
            <w:gridSpan w:val="7"/>
            <w:vAlign w:val="center"/>
          </w:tcPr>
          <w:p w14:paraId="742B38C9">
            <w:pPr>
              <w:spacing w:line="540" w:lineRule="exact"/>
              <w:ind w:firstLine="0" w:firstLineChars="0"/>
              <w:jc w:val="left"/>
              <w:rPr>
                <w:rFonts w:hint="eastAsia" w:ascii="黑体" w:hAnsi="黑体" w:eastAsia="黑体" w:cs="Times New Roman"/>
                <w:sz w:val="21"/>
                <w:szCs w:val="21"/>
                <w14:ligatures w14:val="none"/>
              </w:rPr>
            </w:pPr>
            <w:r>
              <w:rPr>
                <w:rFonts w:hint="eastAsia" w:ascii="黑体" w:hAnsi="黑体" w:eastAsia="黑体" w:cs="Times New Roman"/>
                <w:sz w:val="21"/>
                <w:szCs w:val="21"/>
                <w14:ligatures w14:val="none"/>
              </w:rPr>
              <w:t>设计思路（200字以内）</w:t>
            </w:r>
          </w:p>
        </w:tc>
      </w:tr>
      <w:tr w14:paraId="58AD7140">
        <w:trPr>
          <w:trHeight w:val="680" w:hRule="atLeast"/>
          <w:jc w:val="center"/>
        </w:trPr>
        <w:tc>
          <w:tcPr>
            <w:tcW w:w="0" w:type="auto"/>
            <w:gridSpan w:val="7"/>
          </w:tcPr>
          <w:p w14:paraId="47E288F8">
            <w:pPr>
              <w:ind w:firstLine="420"/>
              <w:rPr>
                <w:rFonts w:hint="eastAsia" w:ascii="宋体" w:hAnsi="宋体" w:eastAsia="宋体"/>
                <w:sz w:val="21"/>
                <w:szCs w:val="21"/>
              </w:rPr>
            </w:pPr>
            <w:r>
              <w:rPr>
                <w:rFonts w:ascii="宋体" w:hAnsi="宋体" w:eastAsia="宋体"/>
                <w:sz w:val="21"/>
                <w:szCs w:val="21"/>
              </w:rPr>
              <w:t>项目以烟农需求为导向，围绕烤房“用、投、管”全过程，聚焦资源调度、建设决策和管护运行中的突出问题，按照“摸清家底、科学评价、协同办理、闭环管护”的思路，归集烤房基础信息及调剂、维修、养护记录，构建烤房基础数据库、健康评估与</w:t>
            </w:r>
            <w:r>
              <w:rPr>
                <w:rFonts w:hint="eastAsia" w:ascii="宋体" w:hAnsi="宋体" w:eastAsia="宋体"/>
                <w:sz w:val="21"/>
                <w:szCs w:val="21"/>
              </w:rPr>
              <w:t>村级发展导引</w:t>
            </w:r>
            <w:r>
              <w:rPr>
                <w:rFonts w:ascii="宋体" w:hAnsi="宋体" w:eastAsia="宋体"/>
                <w:sz w:val="21"/>
                <w:szCs w:val="21"/>
              </w:rPr>
              <w:t>两个模型、</w:t>
            </w:r>
            <w:r>
              <w:rPr>
                <w:rFonts w:hint="eastAsia" w:ascii="宋体" w:hAnsi="宋体" w:eastAsia="宋体"/>
                <w:sz w:val="21"/>
                <w:szCs w:val="21"/>
              </w:rPr>
              <w:t>管家</w:t>
            </w:r>
            <w:r>
              <w:rPr>
                <w:rFonts w:ascii="宋体" w:hAnsi="宋体" w:eastAsia="宋体"/>
                <w:sz w:val="21"/>
                <w:szCs w:val="21"/>
              </w:rPr>
              <w:t>协同平台。</w:t>
            </w:r>
          </w:p>
        </w:tc>
      </w:tr>
      <w:tr w14:paraId="46861CC3">
        <w:trPr>
          <w:trHeight w:val="566" w:hRule="atLeast"/>
          <w:jc w:val="center"/>
        </w:trPr>
        <w:tc>
          <w:tcPr>
            <w:tcW w:w="0" w:type="auto"/>
            <w:gridSpan w:val="7"/>
            <w:vAlign w:val="center"/>
          </w:tcPr>
          <w:p w14:paraId="10DE9851">
            <w:pPr>
              <w:spacing w:line="540" w:lineRule="exact"/>
              <w:ind w:firstLine="0" w:firstLineChars="0"/>
              <w:jc w:val="left"/>
              <w:rPr>
                <w:rFonts w:hint="eastAsia" w:ascii="黑体" w:hAnsi="黑体" w:eastAsia="黑体" w:cs="Times New Roman"/>
                <w:sz w:val="21"/>
                <w:szCs w:val="21"/>
                <w14:ligatures w14:val="none"/>
              </w:rPr>
            </w:pPr>
            <w:r>
              <w:rPr>
                <w:rFonts w:hint="eastAsia" w:ascii="黑体" w:hAnsi="黑体" w:eastAsia="黑体" w:cs="Times New Roman"/>
                <w:sz w:val="21"/>
                <w:szCs w:val="21"/>
                <w14:ligatures w14:val="none"/>
              </w:rPr>
              <w:t>创新成效（200字以内）</w:t>
            </w:r>
          </w:p>
        </w:tc>
      </w:tr>
      <w:tr w14:paraId="00525106">
        <w:trPr>
          <w:trHeight w:val="689" w:hRule="atLeast"/>
          <w:jc w:val="center"/>
        </w:trPr>
        <w:tc>
          <w:tcPr>
            <w:tcW w:w="0" w:type="auto"/>
            <w:gridSpan w:val="7"/>
          </w:tcPr>
          <w:p w14:paraId="220A4DAB">
            <w:pPr>
              <w:ind w:firstLine="420"/>
              <w:rPr>
                <w:rFonts w:hint="eastAsia" w:ascii="宋体" w:hAnsi="宋体" w:cs="Times New Roman"/>
                <w:sz w:val="21"/>
                <w:szCs w:val="21"/>
                <w14:ligatures w14:val="none"/>
              </w:rPr>
            </w:pPr>
            <w:r>
              <w:rPr>
                <w:rFonts w:hint="eastAsia" w:ascii="宋体" w:hAnsi="宋体" w:eastAsia="宋体"/>
                <w:sz w:val="21"/>
                <w:szCs w:val="21"/>
              </w:rPr>
              <w:t>一是：构建烤房健康评估和村级发展导引两个模型，推动烤房管理由经验判断向量化决策转变。健康评估模型综合部件状态、使用年限和维修记录，计算健康分与剩余寿命，找准风险部位和修复次序；村级发展导引模型结合有效烤能、烟叶需求和村级发展条件，科学提供新建烤房依据；三是：健全管护制度，促进出台管护标准；打造“智用、智投、智管”三位一体烤房专业管家体系，实现秭归县2440栋全量烤房数字化、智能化、标准化管控，落地成效显著。</w:t>
            </w:r>
          </w:p>
        </w:tc>
      </w:tr>
      <w:tr w14:paraId="66610D8D">
        <w:trPr>
          <w:trHeight w:val="566" w:hRule="atLeast"/>
          <w:jc w:val="center"/>
        </w:trPr>
        <w:tc>
          <w:tcPr>
            <w:tcW w:w="0" w:type="auto"/>
            <w:gridSpan w:val="7"/>
            <w:vAlign w:val="center"/>
          </w:tcPr>
          <w:p w14:paraId="70FAF39F">
            <w:pPr>
              <w:spacing w:line="540" w:lineRule="exact"/>
              <w:ind w:firstLine="0" w:firstLineChars="0"/>
              <w:jc w:val="left"/>
              <w:rPr>
                <w:rFonts w:hint="eastAsia" w:ascii="宋体" w:hAnsi="宋体" w:cs="Times New Roman"/>
                <w:sz w:val="21"/>
                <w:szCs w:val="21"/>
                <w14:ligatures w14:val="none"/>
              </w:rPr>
            </w:pPr>
            <w:r>
              <w:rPr>
                <w:rFonts w:hint="eastAsia" w:ascii="黑体" w:hAnsi="黑体" w:eastAsia="黑体" w:cs="Times New Roman"/>
                <w:sz w:val="21"/>
                <w:szCs w:val="21"/>
                <w14:ligatures w14:val="none"/>
              </w:rPr>
              <w:t>应用前景（200字以内）</w:t>
            </w:r>
          </w:p>
        </w:tc>
      </w:tr>
      <w:tr w14:paraId="412FF08C">
        <w:trPr>
          <w:trHeight w:val="823" w:hRule="atLeast"/>
          <w:jc w:val="center"/>
        </w:trPr>
        <w:tc>
          <w:tcPr>
            <w:tcW w:w="0" w:type="auto"/>
            <w:gridSpan w:val="7"/>
          </w:tcPr>
          <w:p w14:paraId="3451CCF0">
            <w:pPr>
              <w:ind w:firstLine="420"/>
              <w:rPr>
                <w:rFonts w:hint="eastAsia" w:ascii="宋体" w:hAnsi="宋体" w:cs="Times New Roman"/>
                <w:sz w:val="21"/>
                <w:szCs w:val="21"/>
                <w14:ligatures w14:val="none"/>
              </w:rPr>
            </w:pPr>
            <w:r>
              <w:rPr>
                <w:rFonts w:hint="eastAsia" w:ascii="宋体" w:hAnsi="宋体" w:eastAsia="宋体"/>
                <w:sz w:val="21"/>
                <w:szCs w:val="21"/>
              </w:rPr>
              <w:t>该模式已在宜昌市秭归县烤烟区运行一个烘烤季，核实基础数据、岗位责任和统计口径后，再向市域内其他区县推广。推广时只需结合当地烤房编号、审批流程、服务半径和队伍配置调整基础参数。随着数据逐年积累，可进一步分析不同烤房的使用负荷、故障律和修复投入，辅助编制年度建设与资金计划；还可把服务队任务完成情况与培训、考核相结合，持续提高合作社专业化服务能力。</w:t>
            </w:r>
          </w:p>
        </w:tc>
      </w:tr>
      <w:tr w14:paraId="209A433C">
        <w:trPr>
          <w:trHeight w:val="403" w:hRule="atLeast"/>
          <w:jc w:val="center"/>
        </w:trPr>
        <w:tc>
          <w:tcPr>
            <w:tcW w:w="0" w:type="auto"/>
            <w:gridSpan w:val="7"/>
            <w:vAlign w:val="center"/>
          </w:tcPr>
          <w:p w14:paraId="672C1122">
            <w:pPr>
              <w:spacing w:line="540" w:lineRule="exact"/>
              <w:ind w:firstLine="0" w:firstLineChars="0"/>
              <w:rPr>
                <w:rFonts w:hint="eastAsia" w:ascii="宋体" w:hAnsi="宋体" w:cs="Times New Roman"/>
                <w:sz w:val="21"/>
                <w:szCs w:val="21"/>
                <w14:ligatures w14:val="none"/>
              </w:rPr>
            </w:pPr>
            <w:r>
              <w:rPr>
                <w:rFonts w:hint="eastAsia" w:ascii="黑体" w:hAnsi="黑体" w:eastAsia="黑体" w:cs="Times New Roman"/>
                <w:sz w:val="21"/>
                <w:szCs w:val="21"/>
                <w14:ligatures w14:val="none"/>
              </w:rPr>
              <w:t>团队承诺</w:t>
            </w:r>
          </w:p>
        </w:tc>
      </w:tr>
      <w:tr w14:paraId="1553D117">
        <w:trPr>
          <w:trHeight w:val="1032" w:hRule="atLeast"/>
          <w:jc w:val="center"/>
        </w:trPr>
        <w:tc>
          <w:tcPr>
            <w:tcW w:w="0" w:type="auto"/>
            <w:gridSpan w:val="7"/>
          </w:tcPr>
          <w:p w14:paraId="59120E44">
            <w:pPr>
              <w:spacing w:line="540" w:lineRule="exact"/>
              <w:ind w:firstLine="420"/>
              <w:rPr>
                <w:rFonts w:hint="eastAsia" w:ascii="宋体" w:hAnsi="宋体" w:cs="Times New Roman"/>
                <w:sz w:val="21"/>
                <w:szCs w:val="21"/>
                <w14:ligatures w14:val="none"/>
              </w:rPr>
            </w:pPr>
            <w:r>
              <w:rPr>
                <w:rFonts w:hint="eastAsia" w:ascii="宋体" w:hAnsi="宋体" w:cs="Times New Roman"/>
                <w:sz w:val="21"/>
                <w:szCs w:val="21"/>
                <w14:ligatures w14:val="none"/>
              </w:rPr>
              <w:t>本团队承诺提交的数创成果为本团队自主研发设计，拥有自主知识产权，具有真实性、原创性、合法性、安全性。如有不实，由本团队成员承担相应的责任。</w:t>
            </w:r>
          </w:p>
          <w:p w14:paraId="24BA2CC2">
            <w:pPr>
              <w:spacing w:line="540" w:lineRule="exact"/>
              <w:ind w:firstLine="3570" w:firstLineChars="1700"/>
              <w:rPr>
                <w:rFonts w:hint="eastAsia" w:ascii="宋体" w:hAnsi="宋体" w:cs="Times New Roman"/>
                <w:sz w:val="21"/>
                <w:szCs w:val="21"/>
                <w14:ligatures w14:val="none"/>
              </w:rPr>
            </w:pPr>
            <w:r>
              <w:rPr>
                <w:rFonts w:hint="eastAsia" w:ascii="宋体" w:hAnsi="宋体" w:cs="Times New Roman"/>
                <w:sz w:val="21"/>
                <w:szCs w:val="21"/>
                <w14:ligatures w14:val="none"/>
              </w:rPr>
              <w:t>团队成员承诺签字：</w:t>
            </w:r>
            <w:r>
              <w:rPr>
                <w:rFonts w:ascii="宋体" w:hAnsi="宋体" w:cs="Times New Roman"/>
                <w:sz w:val="21"/>
                <w:szCs w:val="21"/>
                <w14:ligatures w14:val="none"/>
              </w:rPr>
              <w:t xml:space="preserve"> </w:t>
            </w:r>
          </w:p>
        </w:tc>
      </w:tr>
    </w:tbl>
    <w:p w14:paraId="1CD859FC">
      <w:pPr>
        <w:pStyle w:val="3"/>
        <w:jc w:val="center"/>
        <w:rPr>
          <w:rFonts w:hint="eastAsia"/>
        </w:rPr>
      </w:pPr>
    </w:p>
    <w:p w14:paraId="4293FD59">
      <w:pPr>
        <w:widowControl/>
        <w:ind w:firstLine="0" w:firstLineChars="0"/>
        <w:jc w:val="left"/>
        <w:rPr>
          <w:rFonts w:hint="eastAsia" w:eastAsia="黑体" w:asciiTheme="majorHAnsi" w:hAnsiTheme="majorHAnsi" w:cstheme="majorBidi"/>
          <w:szCs w:val="40"/>
        </w:rPr>
      </w:pPr>
      <w:r>
        <w:rPr>
          <w:rFonts w:hint="eastAsia"/>
        </w:rPr>
        <w:br w:type="page"/>
      </w:r>
    </w:p>
    <w:p w14:paraId="4B892530">
      <w:pPr>
        <w:pStyle w:val="3"/>
        <w:jc w:val="center"/>
        <w:rPr>
          <w:rFonts w:hint="eastAsia"/>
        </w:rPr>
      </w:pPr>
      <w:r>
        <w:t>前言</w:t>
      </w:r>
    </w:p>
    <w:p w14:paraId="6764875D">
      <w:pPr>
        <w:ind w:firstLine="640"/>
      </w:pPr>
      <w:r>
        <w:rPr>
          <w:rFonts w:hint="eastAsia"/>
        </w:rPr>
        <w:t>烟叶生产基础设施是保障烟叶稳定生产和原料质量的重要支撑。烤房连接田间生产与收购加工，其设施状况和管护水平直接影响烘烤质量、生产成本及烟农收益。加强烤房管理，对保障生产衔接、发挥设施投入效益和推进烟草农业现代化具有重要意义。</w:t>
      </w:r>
    </w:p>
    <w:p w14:paraId="16A9EE54">
      <w:pPr>
        <w:ind w:firstLine="640"/>
      </w:pPr>
      <w:r>
        <w:rPr>
          <w:rFonts w:hint="eastAsia"/>
        </w:rPr>
        <w:t>近年来，国家烟草专卖局持续推进高质量发展和现代化建设，强化科技创新、数字化转型与降本增效。2026年全国烟草工作会议提出加快烟草农业现代化，推动数字经济与烟草产业融合。湖北省局（公司）也持续推进烟叶生产机械化、绿色化、专业化、数字化，促进数字技术向生产管理和烟农服务延伸。</w:t>
      </w:r>
    </w:p>
    <w:p w14:paraId="1028C371">
      <w:pPr>
        <w:ind w:firstLine="640"/>
        <w:rPr>
          <w:rFonts w:hint="eastAsia" w:eastAsia="黑体" w:asciiTheme="majorHAnsi" w:hAnsiTheme="majorHAnsi" w:cstheme="majorBidi"/>
          <w:szCs w:val="40"/>
        </w:rPr>
      </w:pPr>
      <w:r>
        <w:rPr>
          <w:rFonts w:hint="eastAsia"/>
        </w:rPr>
        <w:t>本项目立足国家局部署，衔接湖北省局（公司）工作要求，服务宜昌市局（公司）基层管理和烟农需求，探索烤房资源统筹、使用管理与管护服务相衔接的数字化路径，以数据支撑管理改进，提高设施利用效率和生产保障能力，减轻基层工作负担。</w:t>
      </w:r>
      <w:r>
        <w:rPr>
          <w:rFonts w:hint="eastAsia"/>
        </w:rPr>
        <w:br w:type="page"/>
      </w:r>
    </w:p>
    <w:p w14:paraId="06DE7F00">
      <w:pPr>
        <w:pStyle w:val="3"/>
        <w:jc w:val="center"/>
        <w:rPr>
          <w:rFonts w:hint="eastAsia"/>
        </w:rPr>
      </w:pPr>
      <w:r>
        <w:t>名词解释</w:t>
      </w:r>
    </w:p>
    <w:p w14:paraId="20BAD847">
      <w:pPr>
        <w:pStyle w:val="34"/>
        <w:numPr>
          <w:ilvl w:val="0"/>
          <w:numId w:val="1"/>
        </w:numPr>
        <w:spacing w:after="60"/>
        <w:ind w:firstLineChars="0"/>
        <w:rPr>
          <w:szCs w:val="28"/>
        </w:rPr>
      </w:pPr>
      <w:r>
        <w:rPr>
          <w:rFonts w:eastAsia="黑体"/>
          <w:b/>
          <w:szCs w:val="28"/>
        </w:rPr>
        <w:t>TOPSIS：</w:t>
      </w:r>
      <w:r>
        <w:rPr>
          <w:rFonts w:eastAsia="仿宋"/>
          <w:szCs w:val="28"/>
        </w:rPr>
        <w:t>逼近理想解排序法，在正理想解与负理想解之间比较，选出最接近理想点的候选方案。本课题用于新建点位排序。</w:t>
      </w:r>
      <w:bookmarkStart w:id="0" w:name="_GoBack"/>
      <w:bookmarkEnd w:id="0"/>
    </w:p>
    <w:p w14:paraId="3B07D4E4">
      <w:pPr>
        <w:pStyle w:val="34"/>
        <w:numPr>
          <w:ilvl w:val="0"/>
          <w:numId w:val="1"/>
        </w:numPr>
        <w:spacing w:after="60"/>
        <w:ind w:firstLineChars="0"/>
        <w:rPr>
          <w:rFonts w:eastAsia="仿宋"/>
          <w:szCs w:val="28"/>
        </w:rPr>
      </w:pPr>
      <w:r>
        <w:rPr>
          <w:rFonts w:eastAsia="黑体"/>
          <w:b/>
          <w:szCs w:val="28"/>
        </w:rPr>
        <w:t>熵权法：</w:t>
      </w:r>
      <w:r>
        <w:rPr>
          <w:rFonts w:eastAsia="仿宋"/>
          <w:szCs w:val="28"/>
        </w:rPr>
        <w:t>根据指标数据离散程度确定客观权重的方法，数据区分度越大、权重越高。</w:t>
      </w:r>
    </w:p>
    <w:p w14:paraId="367EF20A">
      <w:pPr>
        <w:widowControl/>
        <w:spacing w:after="160" w:line="278" w:lineRule="auto"/>
        <w:ind w:firstLine="0" w:firstLineChars="0"/>
        <w:jc w:val="left"/>
        <w:rPr>
          <w:rFonts w:eastAsia="仿宋"/>
          <w:szCs w:val="28"/>
        </w:rPr>
      </w:pPr>
      <w:r>
        <w:rPr>
          <w:rFonts w:eastAsia="仿宋"/>
          <w:szCs w:val="28"/>
        </w:rPr>
        <w:br w:type="page"/>
      </w:r>
    </w:p>
    <w:p w14:paraId="3F1840DA">
      <w:pPr>
        <w:pStyle w:val="3"/>
        <w:ind w:right="280"/>
        <w:rPr>
          <w:rFonts w:hint="eastAsia"/>
        </w:rPr>
      </w:pPr>
      <w:r>
        <w:t>一、选择作品</w:t>
      </w:r>
    </w:p>
    <w:p w14:paraId="207CAF28">
      <w:pPr>
        <w:pStyle w:val="4"/>
        <w:ind w:right="280"/>
        <w:rPr>
          <w:rFonts w:hint="eastAsia" w:ascii="仿宋_GB2312" w:eastAsia="仿宋_GB2312"/>
        </w:rPr>
      </w:pPr>
      <w:r>
        <w:rPr>
          <w:rFonts w:hint="eastAsia" w:ascii="仿宋_GB2312" w:eastAsia="仿宋_GB2312"/>
        </w:rPr>
        <w:t>（一）提出需求</w:t>
      </w:r>
    </w:p>
    <w:p w14:paraId="6A5861B4">
      <w:pPr>
        <w:ind w:firstLine="640"/>
      </w:pPr>
      <w:r>
        <w:rPr>
          <w:rFonts w:hint="eastAsia"/>
        </w:rPr>
        <w:t>2025年，为及时、全面掌握烟农对当前烤房管理和服务工作的意见，宜昌市局（公司）现代烟草农业建设办公室会同项目组成员，面向烟农开展“烤房满意度及建议问卷”匿名调查与线下走访，共收到问卷600余份。反馈较为集中地反映出三类关联者在烤房使用过程中面临的三类忧愁。</w:t>
      </w:r>
    </w:p>
    <w:p w14:paraId="5BA91DDD">
      <w:pPr>
        <w:ind w:firstLine="640"/>
      </w:pPr>
      <w:r>
        <w:rPr>
          <w:rFonts w:hint="eastAsia"/>
        </w:rPr>
        <w:t>一是烟农愁：用房愁，资源分布不均、季节性紧张，调剂难；抢修难，故障突发频发、找人难、调度慢、风险大，烟农不满意；</w:t>
      </w:r>
    </w:p>
    <w:p w14:paraId="01EBA192">
      <w:pPr>
        <w:ind w:firstLine="640"/>
      </w:pPr>
      <w:r>
        <w:rPr>
          <w:rFonts w:hint="eastAsia"/>
        </w:rPr>
        <w:t>二是烟站愁：烤房底数不清、状态不明，新建、修复投入凭经验、无数据支撑，决策与需求不匹配，烟农不信任；</w:t>
      </w:r>
    </w:p>
    <w:p w14:paraId="47A2224C">
      <w:pPr>
        <w:ind w:firstLine="640"/>
      </w:pPr>
      <w:r>
        <w:rPr>
          <w:rFonts w:hint="eastAsia"/>
        </w:rPr>
        <w:t>三是合作社愁：管护资金不足、使用不规范；管护责任悬空、队伍履职不力；管护成本高、标准不统一；不敢管、不愿管、不服管。</w:t>
      </w:r>
    </w:p>
    <w:p w14:paraId="320AA9A9">
      <w:pPr>
        <w:ind w:firstLine="640"/>
      </w:pPr>
      <w:r>
        <w:rPr>
          <w:rFonts w:hint="eastAsia"/>
        </w:rPr>
        <w:t>“三愁”现状并非单个业务环节的偶发问题，而是烤房在生产实践中的资源配置，行业在新建、修复宏观投入和日常管护中缺乏有效衔接的集中体现。结合宜昌烟区实际，成立项目组并将其归纳为烤房管理面临的三大痛点：一是资源调度缺少数字支撑；二是基础设施投入缺少量化依据；三是管护运行缺少闭环约束智能工具。</w:t>
      </w:r>
    </w:p>
    <w:p w14:paraId="5E1B8006">
      <w:pPr>
        <w:pStyle w:val="4"/>
        <w:ind w:right="280"/>
        <w:rPr>
          <w:rFonts w:hint="eastAsia" w:ascii="仿宋_GB2312" w:eastAsia="仿宋_GB2312"/>
        </w:rPr>
      </w:pPr>
      <w:r>
        <w:rPr>
          <w:rFonts w:hint="eastAsia" w:ascii="仿宋_GB2312" w:eastAsia="仿宋_GB2312"/>
        </w:rPr>
        <w:t>（二）确定作品</w:t>
      </w:r>
    </w:p>
    <w:p w14:paraId="600B58E5">
      <w:pPr>
        <w:ind w:firstLine="640"/>
      </w:pPr>
      <w:r>
        <w:rPr>
          <w:rFonts w:hint="eastAsia"/>
        </w:rPr>
        <w:t>基于上述痛点，项目组提出建设“聚数</w:t>
      </w:r>
      <w:r>
        <w:t>致远，</w:t>
      </w:r>
      <w:r>
        <w:rPr>
          <w:rFonts w:hint="eastAsia"/>
        </w:rPr>
        <w:t>‘</w:t>
      </w:r>
      <w:r>
        <w:t>三智</w:t>
      </w:r>
      <w:r>
        <w:rPr>
          <w:rFonts w:hint="eastAsia"/>
        </w:rPr>
        <w:t>’</w:t>
      </w:r>
      <w:r>
        <w:t>融合的烤房专业管家</w:t>
      </w:r>
      <w:r>
        <w:rPr>
          <w:rFonts w:hint="eastAsia"/>
        </w:rPr>
        <w:t>”， 以高效全能的烤房全周期管理为主线，贯通烟农、合作社和行业部门，形成“一个数据库、两个模型、一个协同平台”的成果框架。</w:t>
      </w:r>
    </w:p>
    <w:p w14:paraId="2E5E268E">
      <w:pPr>
        <w:ind w:right="280" w:firstLine="0" w:firstLineChars="0"/>
        <w:jc w:val="center"/>
      </w:pPr>
      <w:r>
        <w:drawing>
          <wp:inline distT="0" distB="0" distL="0" distR="0">
            <wp:extent cx="5417820" cy="3876040"/>
            <wp:effectExtent l="0" t="0" r="0" b="0"/>
            <wp:docPr id="1241248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48148"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59443" cy="3905611"/>
                    </a:xfrm>
                    <a:prstGeom prst="rect">
                      <a:avLst/>
                    </a:prstGeom>
                    <a:noFill/>
                    <a:ln>
                      <a:noFill/>
                    </a:ln>
                  </pic:spPr>
                </pic:pic>
              </a:graphicData>
            </a:graphic>
          </wp:inline>
        </w:drawing>
      </w:r>
    </w:p>
    <w:p w14:paraId="6CF9D57F">
      <w:pPr>
        <w:ind w:left="280" w:right="280" w:firstLine="420"/>
        <w:jc w:val="center"/>
        <w:rPr>
          <w:rFonts w:hint="eastAsia" w:ascii="宋体" w:hAnsi="宋体" w:eastAsia="宋体"/>
          <w:sz w:val="21"/>
          <w:szCs w:val="21"/>
        </w:rPr>
      </w:pPr>
      <w:r>
        <w:rPr>
          <w:rFonts w:hint="eastAsia" w:ascii="宋体" w:hAnsi="宋体" w:eastAsia="宋体"/>
          <w:sz w:val="21"/>
          <w:szCs w:val="21"/>
        </w:rPr>
        <w:t>图1 “一个数据库、两个模型、一个协同平台”总体架构图</w:t>
      </w:r>
    </w:p>
    <w:p w14:paraId="47806704">
      <w:pPr>
        <w:pStyle w:val="3"/>
        <w:ind w:right="280"/>
        <w:rPr>
          <w:rFonts w:hint="eastAsia"/>
        </w:rPr>
      </w:pPr>
      <w:r>
        <w:rPr>
          <w:rFonts w:hint="eastAsia"/>
        </w:rPr>
        <w:t>二、设定目标及可行性论证</w:t>
      </w:r>
    </w:p>
    <w:p w14:paraId="23FCE44A">
      <w:pPr>
        <w:pStyle w:val="4"/>
        <w:ind w:right="280"/>
        <w:rPr>
          <w:rFonts w:hint="eastAsia" w:ascii="仿宋_GB2312" w:eastAsia="仿宋_GB2312"/>
        </w:rPr>
      </w:pPr>
      <w:r>
        <w:rPr>
          <w:rFonts w:ascii="仿宋_GB2312" w:eastAsia="仿宋_GB2312"/>
        </w:rPr>
        <w:t>（一）设定目标</w:t>
      </w:r>
    </w:p>
    <w:p w14:paraId="37CEAA93">
      <w:pPr>
        <w:ind w:firstLine="640"/>
      </w:pPr>
      <w:r>
        <w:rPr>
          <w:rFonts w:hint="eastAsia"/>
        </w:rPr>
        <w:t>该项目拟在宜昌市秭归烟区开展应用：</w:t>
      </w:r>
    </w:p>
    <w:p w14:paraId="0E728C04">
      <w:pPr>
        <w:ind w:firstLine="640"/>
      </w:pPr>
      <w:r>
        <w:rPr>
          <w:rFonts w:hint="eastAsia"/>
        </w:rPr>
        <w:t>1.烤房数据库：100%覆盖现有可用烤房，不低于1600栋；形成健康评价及统计看板，行业部门可有效查询、分级查询；</w:t>
      </w:r>
    </w:p>
    <w:p w14:paraId="5B723B49">
      <w:pPr>
        <w:ind w:firstLine="640"/>
      </w:pPr>
      <w:r>
        <w:rPr>
          <w:rFonts w:hint="eastAsia"/>
        </w:rPr>
        <w:t>2.健全管护制度，出台管护标准，流程清晰；合作社服务队各司其职，管护成本降低，管护效率提升，统一管护的在用烤房占比65%以上。</w:t>
      </w:r>
    </w:p>
    <w:p w14:paraId="48594473">
      <w:pPr>
        <w:ind w:firstLine="640"/>
      </w:pPr>
      <w:r>
        <w:rPr>
          <w:rFonts w:hint="eastAsia"/>
        </w:rPr>
        <w:t>3.调剂和抢修响应时间：控制在0.5小时以内；临时需求满足，烟农烤房使用满意度提升到95%以上。</w:t>
      </w:r>
    </w:p>
    <w:p w14:paraId="23A3BCF5">
      <w:pPr>
        <w:pStyle w:val="4"/>
        <w:ind w:right="280"/>
        <w:rPr>
          <w:rFonts w:hint="eastAsia" w:ascii="仿宋_GB2312" w:eastAsia="仿宋_GB2312"/>
        </w:rPr>
      </w:pPr>
      <w:r>
        <w:rPr>
          <w:rFonts w:hint="eastAsia" w:ascii="仿宋_GB2312" w:eastAsia="仿宋_GB2312"/>
        </w:rPr>
        <w:t>（二）目标可行性论证</w:t>
      </w:r>
    </w:p>
    <w:p w14:paraId="5B94B9ED">
      <w:pPr>
        <w:ind w:firstLine="643"/>
      </w:pPr>
      <w:r>
        <w:rPr>
          <w:rFonts w:hint="eastAsia"/>
          <w:b/>
          <w:bCs/>
        </w:rPr>
        <w:t>研究可行性。</w:t>
      </w:r>
      <w:r>
        <w:rPr>
          <w:rFonts w:hint="eastAsia"/>
        </w:rPr>
        <w:t>项目研究对象和业务场景明确，前期已通过600余份烟农问卷、现场走访及业务资料梳理，掌握烤房调剂、报修、建设、修复和管护中的实际需求。现有烤房台账、维修记录、烟农种植资料及合作社人员信息可为研究提供基础数据，相关业务均有明确责任主体，具备开展试点和实施前后对比验证的条件。</w:t>
      </w:r>
    </w:p>
    <w:p w14:paraId="73AD9867">
      <w:pPr>
        <w:ind w:firstLine="643"/>
      </w:pPr>
      <w:r>
        <w:rPr>
          <w:rFonts w:hint="eastAsia"/>
          <w:b/>
          <w:bCs/>
        </w:rPr>
        <w:t>技术可行性。</w:t>
      </w:r>
      <w:r>
        <w:rPr>
          <w:rFonts w:hint="eastAsia"/>
        </w:rPr>
        <w:t>项目采用“微信小程序＋网页后台”的应用方式，烟农无须安装专用软件，合作社和行业部门可使用现有办公电脑开展审核、派单和管理。现有程序已经具备烤房调剂、故障报修、设施分析、项目管理、服务队伍等功能基础，业务数据可通过统一烤房编号关联，具备进一步完善和推广应用的技术条件。</w:t>
      </w:r>
    </w:p>
    <w:p w14:paraId="65BCA96B">
      <w:pPr>
        <w:ind w:firstLine="643"/>
      </w:pPr>
      <w:r>
        <w:rPr>
          <w:rFonts w:hint="eastAsia"/>
          <w:b/>
          <w:bCs/>
        </w:rPr>
        <w:t>经济可行性。</w:t>
      </w:r>
      <w:r>
        <w:rPr>
          <w:rFonts w:hint="eastAsia"/>
        </w:rPr>
        <w:t>项目依托现有烤房、业务资料、办公设备和合作社服务体系开展建设，无须大规模购置专用终端，投入主要用于软件完善、数据整理、服务器运行、人员培训和后期维护。项目应用后可减少人工统计和协调成本，提高闲置烤房利用率、抢修效率及建设修复资金使用的针对性，具有较好的经济性和持续应用价值。</w:t>
      </w:r>
    </w:p>
    <w:p w14:paraId="11BC4D68">
      <w:pPr>
        <w:pStyle w:val="3"/>
        <w:ind w:right="280"/>
        <w:rPr>
          <w:rFonts w:hint="eastAsia"/>
        </w:rPr>
      </w:pPr>
      <w:r>
        <w:rPr>
          <w:rFonts w:hint="eastAsia"/>
        </w:rPr>
        <w:t>三、设计及确定方案</w:t>
      </w:r>
    </w:p>
    <w:p w14:paraId="7FF258F5">
      <w:pPr>
        <w:pStyle w:val="4"/>
        <w:ind w:right="280"/>
        <w:rPr>
          <w:rFonts w:hint="eastAsia" w:ascii="仿宋_GB2312" w:eastAsia="仿宋_GB2312"/>
        </w:rPr>
      </w:pPr>
      <w:r>
        <w:rPr>
          <w:rFonts w:hint="eastAsia" w:ascii="仿宋_GB2312" w:eastAsia="仿宋_GB2312"/>
        </w:rPr>
        <w:t>（一）设计思路</w:t>
      </w:r>
    </w:p>
    <w:p w14:paraId="0F4BA877">
      <w:pPr>
        <w:ind w:firstLine="640"/>
      </w:pPr>
      <w:r>
        <w:t>项目以烟农需求为导向，围绕烤房“用、投、管”全过程，聚焦资源调度、建设决策和管护运行中的突出问题，按照“摸清家底、科学评价、协同办理、闭环管护”的思路，归集烤房基础信息及调剂、维修、养护记录，构建烤房基础数据库、健康评估与</w:t>
      </w:r>
      <w:r>
        <w:rPr>
          <w:rFonts w:hint="eastAsia"/>
        </w:rPr>
        <w:t>村级发展导引</w:t>
      </w:r>
      <w:r>
        <w:t>两个模型、</w:t>
      </w:r>
      <w:r>
        <w:rPr>
          <w:rFonts w:hint="eastAsia"/>
        </w:rPr>
        <w:t>管家</w:t>
      </w:r>
      <w:r>
        <w:t>协同平台。</w:t>
      </w:r>
    </w:p>
    <w:p w14:paraId="648AA1A3">
      <w:pPr>
        <w:ind w:firstLine="0" w:firstLineChars="0"/>
      </w:pPr>
      <w:r>
        <w:drawing>
          <wp:inline distT="0" distB="0" distL="0" distR="0">
            <wp:extent cx="5274310" cy="3324225"/>
            <wp:effectExtent l="0" t="0" r="2540" b="9525"/>
            <wp:docPr id="1685939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39421"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3324225"/>
                    </a:xfrm>
                    <a:prstGeom prst="rect">
                      <a:avLst/>
                    </a:prstGeom>
                    <a:noFill/>
                    <a:ln>
                      <a:noFill/>
                    </a:ln>
                  </pic:spPr>
                </pic:pic>
              </a:graphicData>
            </a:graphic>
          </wp:inline>
        </w:drawing>
      </w:r>
    </w:p>
    <w:p w14:paraId="3567E433">
      <w:pPr>
        <w:ind w:right="280" w:firstLine="0" w:firstLineChars="0"/>
        <w:jc w:val="center"/>
        <w:rPr>
          <w:rFonts w:hint="eastAsia" w:ascii="宋体" w:hAnsi="宋体" w:eastAsia="宋体"/>
          <w:sz w:val="21"/>
          <w:szCs w:val="21"/>
        </w:rPr>
      </w:pPr>
      <w:r>
        <w:rPr>
          <w:rFonts w:hint="eastAsia" w:ascii="宋体" w:hAnsi="宋体" w:eastAsia="宋体"/>
          <w:sz w:val="21"/>
          <w:szCs w:val="21"/>
        </w:rPr>
        <w:t>图2 项目蓝图</w:t>
      </w:r>
    </w:p>
    <w:p w14:paraId="6DAA4746">
      <w:pPr>
        <w:ind w:firstLine="640"/>
      </w:pPr>
      <w:r>
        <w:t>通过</w:t>
      </w:r>
      <w:r>
        <w:rPr>
          <w:rFonts w:hint="eastAsia"/>
        </w:rPr>
        <w:t>“</w:t>
      </w:r>
      <w:r>
        <w:t>智用</w:t>
      </w:r>
      <w:r>
        <w:rPr>
          <w:rFonts w:hint="eastAsia"/>
        </w:rPr>
        <w:t>”</w:t>
      </w:r>
      <w:r>
        <w:t>盘活资源、保障抢修，</w:t>
      </w:r>
      <w:r>
        <w:rPr>
          <w:rFonts w:hint="eastAsia"/>
        </w:rPr>
        <w:t>“</w:t>
      </w:r>
      <w:r>
        <w:t>智</w:t>
      </w:r>
      <w:r>
        <w:rPr>
          <w:rFonts w:hint="eastAsia"/>
        </w:rPr>
        <w:t>投”</w:t>
      </w:r>
      <w:r>
        <w:t>辅助新建</w:t>
      </w:r>
      <w:r>
        <w:rPr>
          <w:rFonts w:hint="eastAsia"/>
        </w:rPr>
        <w:t>、</w:t>
      </w:r>
      <w:r>
        <w:t>修复</w:t>
      </w:r>
      <w:r>
        <w:rPr>
          <w:rFonts w:hint="eastAsia"/>
        </w:rPr>
        <w:t>等行业投入决策</w:t>
      </w:r>
      <w:r>
        <w:t>，</w:t>
      </w:r>
      <w:r>
        <w:rPr>
          <w:rFonts w:hint="eastAsia"/>
        </w:rPr>
        <w:t>“</w:t>
      </w:r>
      <w:r>
        <w:t>智</w:t>
      </w:r>
      <w:r>
        <w:rPr>
          <w:rFonts w:hint="eastAsia"/>
        </w:rPr>
        <w:t>管”</w:t>
      </w:r>
      <w:r>
        <w:t>规范队伍、资金，形成业务办理、结果反馈和数据更新闭环。</w:t>
      </w:r>
    </w:p>
    <w:p w14:paraId="387D44F6">
      <w:pPr>
        <w:pStyle w:val="4"/>
        <w:ind w:right="280"/>
        <w:rPr>
          <w:rFonts w:hint="eastAsia" w:ascii="仿宋_GB2312" w:eastAsia="仿宋_GB2312"/>
        </w:rPr>
      </w:pPr>
      <w:r>
        <w:rPr>
          <w:rFonts w:ascii="仿宋_GB2312" w:eastAsia="仿宋_GB2312"/>
        </w:rPr>
        <w:t>（二）确定方案</w:t>
      </w:r>
    </w:p>
    <w:p w14:paraId="38CB6703">
      <w:pPr>
        <w:ind w:firstLine="640"/>
      </w:pPr>
      <w:r>
        <w:rPr>
          <w:rFonts w:hint="eastAsia"/>
        </w:rPr>
        <w:t>通过前期的充分调研与深度分析，项目组最终确定“一个数据库、两个模型、一个协同平台”的建设方案。一个数据库以烤房为对象，记录基础信息、部件状态、使用情况和管护费用等内容；两个模型分别为</w:t>
      </w:r>
      <w:r>
        <w:rPr>
          <w:rFonts w:asciiTheme="minorHAnsi" w:hAnsiTheme="minorHAnsi"/>
          <w:bCs/>
        </w:rPr>
        <w:t>烤房健康评估模型</w:t>
      </w:r>
      <w:r>
        <w:rPr>
          <w:rFonts w:hint="eastAsia"/>
          <w:bCs/>
        </w:rPr>
        <w:t>和</w:t>
      </w:r>
      <w:r>
        <w:rPr>
          <w:rFonts w:asciiTheme="minorHAnsi" w:hAnsiTheme="minorHAnsi"/>
          <w:bCs/>
        </w:rPr>
        <w:t>千亩村发展导引模型</w:t>
      </w:r>
      <w:r>
        <w:rPr>
          <w:rFonts w:hint="eastAsia"/>
          <w:bCs/>
        </w:rPr>
        <w:t>，</w:t>
      </w:r>
      <w:r>
        <w:rPr>
          <w:rFonts w:hint="eastAsia"/>
        </w:rPr>
        <w:t>前者用于健康评分、风险部位排序和修复推荐，后者用于评价千亩村烘烤承载及发展需求，辅助提出新建建议；一个管家协同平台由烟农微信小程序和合作社、管理人员网页后台共同支撑。</w:t>
      </w:r>
    </w:p>
    <w:p w14:paraId="6E3BA92A">
      <w:pPr>
        <w:pStyle w:val="3"/>
        <w:rPr>
          <w:rFonts w:hint="eastAsia"/>
        </w:rPr>
      </w:pPr>
      <w:r>
        <w:rPr>
          <w:rFonts w:hint="eastAsia"/>
        </w:rPr>
        <w:t>四、方案实施过程</w:t>
      </w:r>
    </w:p>
    <w:p w14:paraId="01D5B09D">
      <w:pPr>
        <w:pStyle w:val="4"/>
        <w:ind w:right="280"/>
        <w:rPr>
          <w:rFonts w:hint="eastAsia" w:ascii="仿宋_GB2312" w:eastAsia="仿宋_GB2312"/>
        </w:rPr>
      </w:pPr>
      <w:r>
        <w:rPr>
          <w:rFonts w:hint="eastAsia" w:ascii="仿宋_GB2312" w:eastAsia="仿宋_GB2312"/>
        </w:rPr>
        <w:t>（一）技术路线</w:t>
      </w:r>
    </w:p>
    <w:p w14:paraId="7DE5305A">
      <w:pPr>
        <w:pStyle w:val="5"/>
      </w:pPr>
      <w:r>
        <w:t>1. 工具选择</w:t>
      </w:r>
    </w:p>
    <w:p w14:paraId="5C7CEB2D">
      <w:pPr>
        <w:ind w:firstLine="640"/>
      </w:pPr>
      <w:r>
        <w:rPr>
          <w:rFonts w:hint="eastAsia"/>
        </w:rPr>
        <w:t>项目采用“微信小程序+web网页”两大交互入口。业务数据存储在MySQL中，两端通过统一的烤房编号、烟农标识和烘烤季关联数据，接口采用HTTP和JSON格式传输。烟农无需安装额外应用，通过微信即可进行烤房调剂、报修和服务评价；合作社及管理人员使用电脑处理批量数据、审核任务和项目分析；前后端分离便于小程序、管理后台和算法模块分别调整。</w:t>
      </w:r>
    </w:p>
    <w:p w14:paraId="3F56FF48">
      <w:pPr>
        <w:pStyle w:val="5"/>
      </w:pPr>
      <w:r>
        <w:rPr>
          <w:rFonts w:hint="eastAsia"/>
        </w:rPr>
        <w:t>2. 数据来源</w:t>
      </w:r>
    </w:p>
    <w:p w14:paraId="078C3025">
      <w:pPr>
        <w:pStyle w:val="34"/>
        <w:numPr>
          <w:ilvl w:val="0"/>
          <w:numId w:val="2"/>
        </w:numPr>
        <w:ind w:firstLineChars="0"/>
      </w:pPr>
      <w:r>
        <w:rPr>
          <w:b/>
          <w:bCs/>
        </w:rPr>
        <w:t>烤房基础数据</w:t>
      </w:r>
      <w:r>
        <w:t>：来源于烟草部门基础设施台账、合作社登记资料和现场核查</w:t>
      </w:r>
      <w:r>
        <w:rPr>
          <w:rFonts w:hint="eastAsia"/>
        </w:rPr>
        <w:t>；</w:t>
      </w:r>
      <w:r>
        <w:t>日常检查、专项排查和维修验收记录，涵盖</w:t>
      </w:r>
      <w:r>
        <w:rPr>
          <w:rFonts w:hint="eastAsia"/>
        </w:rPr>
        <w:t>烤房四大部位涉及12个关键部件状态等信息；</w:t>
      </w:r>
    </w:p>
    <w:p w14:paraId="281FBDC1">
      <w:pPr>
        <w:pStyle w:val="34"/>
        <w:numPr>
          <w:ilvl w:val="0"/>
          <w:numId w:val="2"/>
        </w:numPr>
        <w:ind w:firstLineChars="0"/>
      </w:pPr>
      <w:r>
        <w:rPr>
          <w:b/>
          <w:bCs/>
        </w:rPr>
        <w:t>烤房</w:t>
      </w:r>
      <w:r>
        <w:rPr>
          <w:rFonts w:hint="eastAsia"/>
          <w:b/>
          <w:bCs/>
        </w:rPr>
        <w:t>使用及日常管理</w:t>
      </w:r>
      <w:r>
        <w:rPr>
          <w:b/>
          <w:bCs/>
        </w:rPr>
        <w:t>数据</w:t>
      </w:r>
      <w:r>
        <w:t>：来源于合作社调剂记录、烟农申请</w:t>
      </w:r>
      <w:r>
        <w:rPr>
          <w:rFonts w:hint="eastAsia"/>
        </w:rPr>
        <w:t>、</w:t>
      </w:r>
      <w:r>
        <w:t>烘烤季实际使用情况</w:t>
      </w:r>
      <w:r>
        <w:rPr>
          <w:rFonts w:hint="eastAsia"/>
        </w:rPr>
        <w:t>、</w:t>
      </w:r>
      <w:r>
        <w:t>合作社档案</w:t>
      </w:r>
      <w:r>
        <w:rPr>
          <w:rFonts w:hint="eastAsia"/>
        </w:rPr>
        <w:t>、</w:t>
      </w:r>
      <w:r>
        <w:t>日常管理记录</w:t>
      </w:r>
      <w:r>
        <w:rPr>
          <w:rFonts w:hint="eastAsia"/>
        </w:rPr>
        <w:t>和烤房维护相关记录；</w:t>
      </w:r>
    </w:p>
    <w:p w14:paraId="64BF656F">
      <w:pPr>
        <w:pStyle w:val="34"/>
        <w:numPr>
          <w:ilvl w:val="0"/>
          <w:numId w:val="2"/>
        </w:numPr>
        <w:ind w:firstLineChars="0"/>
      </w:pPr>
      <w:r>
        <w:rPr>
          <w:b/>
          <w:bCs/>
        </w:rPr>
        <w:t>烟叶生产数据</w:t>
      </w:r>
      <w:r>
        <w:t>：来源于烟叶生产管理资料，包括村级种烟面积、烟叶收购量、种烟农户数量及年度变化情况，用于测算烘烤需求和供需缺口</w:t>
      </w:r>
      <w:r>
        <w:rPr>
          <w:rFonts w:hint="eastAsia"/>
        </w:rPr>
        <w:t>；</w:t>
      </w:r>
    </w:p>
    <w:p w14:paraId="1DA348BD">
      <w:pPr>
        <w:pStyle w:val="34"/>
        <w:numPr>
          <w:ilvl w:val="0"/>
          <w:numId w:val="2"/>
        </w:numPr>
        <w:ind w:firstLineChars="0"/>
      </w:pPr>
      <w:r>
        <w:rPr>
          <w:b/>
          <w:bCs/>
        </w:rPr>
        <w:t>平台运行数据</w:t>
      </w:r>
      <w:r>
        <w:t>：来源于烟农微信小程序和合作社管理后台，随系统运行持续更新。</w:t>
      </w:r>
    </w:p>
    <w:p w14:paraId="1C2A4657">
      <w:pPr>
        <w:ind w:firstLine="640"/>
        <w:rPr>
          <w:rFonts w:hint="eastAsia" w:asciiTheme="minorHAnsi" w:hAnsiTheme="minorHAnsi"/>
        </w:rPr>
      </w:pPr>
      <w:r>
        <w:rPr>
          <w:rFonts w:hint="eastAsia"/>
        </w:rPr>
        <w:t>以上数据先进行名称统一、重复项处理、缺失项核实和坐标校验，再按烤房编号写入数据库。</w:t>
      </w:r>
    </w:p>
    <w:p w14:paraId="1CD93C9E">
      <w:pPr>
        <w:pStyle w:val="4"/>
        <w:ind w:right="280"/>
        <w:rPr>
          <w:rFonts w:hint="eastAsia" w:ascii="仿宋_GB2312" w:eastAsia="仿宋_GB2312"/>
        </w:rPr>
      </w:pPr>
      <w:r>
        <w:rPr>
          <w:rFonts w:hint="eastAsia" w:ascii="仿宋_GB2312" w:eastAsia="仿宋_GB2312"/>
        </w:rPr>
        <w:t>（二）算法设计</w:t>
      </w:r>
    </w:p>
    <w:p w14:paraId="54F7380A">
      <w:pPr>
        <w:pStyle w:val="5"/>
      </w:pPr>
      <w:r>
        <w:rPr>
          <w:rFonts w:hint="eastAsia"/>
        </w:rPr>
        <w:t>1. 烤房健康评估模型</w:t>
      </w:r>
    </w:p>
    <w:p w14:paraId="2B2DABC7">
      <w:pPr>
        <w:ind w:firstLine="640"/>
      </w:pPr>
      <w:r>
        <w:t>烤房健康评估模型以单栋烤房为评价对象，将健康分和剩余寿命纳入同一套评价框架。模型归集烤房建设年份、管护方式、人工评价</w:t>
      </w:r>
      <w:r>
        <w:rPr>
          <w:rFonts w:hint="eastAsia"/>
        </w:rPr>
        <w:t>等</w:t>
      </w:r>
      <w:r>
        <w:t>记录，以及12个关键部件的状态、权重和指导寿命</w:t>
      </w:r>
      <w:r>
        <w:rPr>
          <w:rFonts w:hint="eastAsia"/>
        </w:rPr>
        <w:t>（如下图所示）</w:t>
      </w:r>
      <w:r>
        <w:t>，解决不同人员评价尺度不一、修复次序主要依靠经验判断的问题。</w:t>
      </w:r>
    </w:p>
    <w:p w14:paraId="1223CA76">
      <w:pPr>
        <w:ind w:firstLine="0" w:firstLineChars="0"/>
      </w:pPr>
      <w:r>
        <w:drawing>
          <wp:inline distT="0" distB="0" distL="0" distR="0">
            <wp:extent cx="5274310" cy="2597785"/>
            <wp:effectExtent l="0" t="0" r="2540" b="0"/>
            <wp:docPr id="5973606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60692"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597785"/>
                    </a:xfrm>
                    <a:prstGeom prst="rect">
                      <a:avLst/>
                    </a:prstGeom>
                    <a:noFill/>
                    <a:ln>
                      <a:noFill/>
                    </a:ln>
                  </pic:spPr>
                </pic:pic>
              </a:graphicData>
            </a:graphic>
          </wp:inline>
        </w:drawing>
      </w:r>
    </w:p>
    <w:p w14:paraId="021ACA31">
      <w:pPr>
        <w:ind w:firstLine="0" w:firstLineChars="0"/>
        <w:jc w:val="center"/>
        <w:rPr>
          <w:rFonts w:hint="eastAsia" w:ascii="宋体" w:hAnsi="宋体" w:eastAsia="宋体"/>
          <w:sz w:val="21"/>
          <w:szCs w:val="21"/>
        </w:rPr>
      </w:pPr>
      <w:r>
        <w:rPr>
          <w:rFonts w:hint="eastAsia" w:ascii="宋体" w:hAnsi="宋体" w:eastAsia="宋体"/>
          <w:sz w:val="21"/>
          <w:szCs w:val="21"/>
        </w:rPr>
        <w:t>图3 烤房健康分计算</w:t>
      </w:r>
    </w:p>
    <w:p w14:paraId="58CB6B8D">
      <w:pPr>
        <w:ind w:firstLine="640"/>
      </w:pPr>
      <w:r>
        <w:t>模型综合建成年份、维修时间、部件状态和检查评价，计算12个关键部件的剩余年限及健康得分，再按部件健康80%、管护制度10%、人工评价10%形成整栋健康分，并划分五个健康等级。同时结合短板寿命、加权平均寿命和健康分校准结果，预测烤房剩余使用年限，输出风险部位及维修预警，为巡检、抢修和修复排序提供依据。</w:t>
      </w:r>
    </w:p>
    <w:p w14:paraId="0EE9F172">
      <w:pPr>
        <w:ind w:firstLine="0" w:firstLineChars="0"/>
      </w:pPr>
      <w:r>
        <w:drawing>
          <wp:inline distT="0" distB="0" distL="0" distR="0">
            <wp:extent cx="5274310" cy="2735580"/>
            <wp:effectExtent l="0" t="0" r="2540" b="7620"/>
            <wp:docPr id="8563186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8674"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2735580"/>
                    </a:xfrm>
                    <a:prstGeom prst="rect">
                      <a:avLst/>
                    </a:prstGeom>
                    <a:noFill/>
                    <a:ln>
                      <a:noFill/>
                    </a:ln>
                  </pic:spPr>
                </pic:pic>
              </a:graphicData>
            </a:graphic>
          </wp:inline>
        </w:drawing>
      </w:r>
    </w:p>
    <w:p w14:paraId="3FE05823">
      <w:pPr>
        <w:ind w:firstLine="420"/>
        <w:jc w:val="center"/>
        <w:rPr>
          <w:rFonts w:hint="eastAsia" w:ascii="宋体" w:hAnsi="宋体" w:eastAsia="宋体"/>
          <w:sz w:val="21"/>
          <w:szCs w:val="21"/>
        </w:rPr>
      </w:pPr>
      <w:r>
        <w:rPr>
          <w:rFonts w:hint="eastAsia" w:ascii="宋体" w:hAnsi="宋体" w:eastAsia="宋体"/>
          <w:sz w:val="21"/>
          <w:szCs w:val="21"/>
        </w:rPr>
        <w:t>图4 烤房健康评估模型流程图</w:t>
      </w:r>
    </w:p>
    <w:p w14:paraId="1CA2199F">
      <w:pPr>
        <w:ind w:firstLine="640"/>
      </w:pPr>
      <w:r>
        <w:t>剩余寿命采用“短板约束＋加权平均”方法，最短部件寿命占60%，部件加权平均寿命占40%，再乘以健康校准系数，得到预测寿命和预计退役年份</w:t>
      </w:r>
      <w:r>
        <w:rPr>
          <w:rFonts w:hint="eastAsia"/>
        </w:rPr>
        <w:t>，并</w:t>
      </w:r>
      <w:r>
        <w:t>根据健康缺口和部件重要度进行排序，输出风险部位寿命预警等级。</w:t>
      </w:r>
    </w:p>
    <w:p w14:paraId="11BDB99D">
      <w:pPr>
        <w:pStyle w:val="5"/>
      </w:pPr>
      <w:r>
        <w:rPr>
          <w:rFonts w:hint="eastAsia"/>
        </w:rPr>
        <w:t xml:space="preserve">2. </w:t>
      </w:r>
      <w:r>
        <w:t>千亩村发展导引模型</w:t>
      </w:r>
    </w:p>
    <w:p w14:paraId="36866F23">
      <w:pPr>
        <w:ind w:firstLine="640"/>
      </w:pPr>
      <w:r>
        <w:t>模型以</w:t>
      </w:r>
      <w:r>
        <w:rPr>
          <w:rFonts w:hint="eastAsia"/>
        </w:rPr>
        <w:t>千亩</w:t>
      </w:r>
      <w:r>
        <w:t>村烤房供需关系为基础，综合现有烤房健康状况、烘烤能力、烟叶生产规模、设施承载压力和村级发展条件，识别烤房供给不足及新建需求较为迫切的村。对进入新建范围的村，再从地形、水文、电力、交通、烟田匹配、环境安全、集群效益和建设成本等方面评价候选点，形成村级优先顺序、推荐建设数量和点位排名。</w:t>
      </w:r>
    </w:p>
    <w:p w14:paraId="5E6266E8">
      <w:pPr>
        <w:ind w:right="280" w:firstLine="0" w:firstLineChars="0"/>
      </w:pPr>
      <w:r>
        <w:drawing>
          <wp:inline distT="0" distB="0" distL="0" distR="0">
            <wp:extent cx="5274310" cy="2718435"/>
            <wp:effectExtent l="0" t="0" r="2540" b="5715"/>
            <wp:docPr id="3810679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7943"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2718435"/>
                    </a:xfrm>
                    <a:prstGeom prst="rect">
                      <a:avLst/>
                    </a:prstGeom>
                    <a:noFill/>
                    <a:ln>
                      <a:noFill/>
                    </a:ln>
                  </pic:spPr>
                </pic:pic>
              </a:graphicData>
            </a:graphic>
          </wp:inline>
        </w:drawing>
      </w:r>
    </w:p>
    <w:p w14:paraId="0012C048">
      <w:pPr>
        <w:ind w:firstLine="420"/>
        <w:jc w:val="center"/>
        <w:rPr>
          <w:rFonts w:hint="eastAsia" w:ascii="宋体" w:hAnsi="宋体" w:eastAsia="宋体"/>
          <w:sz w:val="21"/>
          <w:szCs w:val="21"/>
        </w:rPr>
      </w:pPr>
      <w:r>
        <w:rPr>
          <w:rFonts w:hint="eastAsia" w:ascii="宋体" w:hAnsi="宋体" w:eastAsia="宋体"/>
          <w:sz w:val="21"/>
          <w:szCs w:val="21"/>
        </w:rPr>
        <w:t xml:space="preserve">图5 </w:t>
      </w:r>
      <w:r>
        <w:rPr>
          <w:rFonts w:ascii="宋体" w:hAnsi="宋体" w:eastAsia="宋体"/>
          <w:sz w:val="21"/>
          <w:szCs w:val="21"/>
        </w:rPr>
        <w:t>烤房新建决策模型</w:t>
      </w:r>
      <w:r>
        <w:rPr>
          <w:rFonts w:hint="eastAsia" w:ascii="宋体" w:hAnsi="宋体" w:eastAsia="宋体"/>
          <w:sz w:val="21"/>
          <w:szCs w:val="21"/>
        </w:rPr>
        <w:t>流程图</w:t>
      </w:r>
    </w:p>
    <w:p w14:paraId="6A673025">
      <w:pPr>
        <w:ind w:firstLine="640"/>
      </w:pPr>
      <w:r>
        <w:t>模型根据烤房健康分、容量和使用状态折算村级有效烤能，结合烟叶收购量或种烟面积测算理论需求，形成承载匹配和村级发展指数，据此判断新建需求及推荐栋数。对候选点采用AHP与熵权法组合赋权，通过TOPSIS排序确定最优点位，并利用新增烤房情景推演评价项目投入效果。</w:t>
      </w:r>
    </w:p>
    <w:p w14:paraId="13AED8CE">
      <w:pPr>
        <w:pStyle w:val="3"/>
        <w:rPr>
          <w:rFonts w:hint="eastAsia"/>
        </w:rPr>
      </w:pPr>
      <w:r>
        <w:rPr>
          <w:rFonts w:hint="eastAsia"/>
        </w:rPr>
        <w:t>五、成果功能说明</w:t>
      </w:r>
    </w:p>
    <w:p w14:paraId="35C02463">
      <w:pPr>
        <w:ind w:firstLine="0" w:firstLineChars="0"/>
        <w:jc w:val="center"/>
      </w:pPr>
      <w:r>
        <w:drawing>
          <wp:inline distT="0" distB="0" distL="0" distR="0">
            <wp:extent cx="5274310" cy="2574290"/>
            <wp:effectExtent l="0" t="0" r="2540" b="0"/>
            <wp:docPr id="1955847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47436"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2574290"/>
                    </a:xfrm>
                    <a:prstGeom prst="rect">
                      <a:avLst/>
                    </a:prstGeom>
                    <a:noFill/>
                    <a:ln>
                      <a:noFill/>
                    </a:ln>
                  </pic:spPr>
                </pic:pic>
              </a:graphicData>
            </a:graphic>
          </wp:inline>
        </w:drawing>
      </w:r>
    </w:p>
    <w:p w14:paraId="2740C3BB">
      <w:pPr>
        <w:ind w:firstLine="0" w:firstLineChars="0"/>
        <w:jc w:val="center"/>
        <w:rPr>
          <w:sz w:val="21"/>
          <w:szCs w:val="21"/>
        </w:rPr>
      </w:pPr>
      <w:r>
        <w:rPr>
          <w:rFonts w:hint="eastAsia" w:ascii="宋体" w:hAnsi="宋体" w:eastAsia="宋体"/>
          <w:sz w:val="21"/>
          <w:szCs w:val="21"/>
        </w:rPr>
        <w:t>图6 总览大屏</w:t>
      </w:r>
    </w:p>
    <w:p w14:paraId="7AA1A7A2">
      <w:pPr>
        <w:ind w:firstLine="0" w:firstLineChars="0"/>
        <w:jc w:val="center"/>
        <w:rPr>
          <w:sz w:val="21"/>
          <w:szCs w:val="21"/>
        </w:rPr>
      </w:pPr>
      <w:r>
        <w:rPr>
          <w:sz w:val="21"/>
          <w:szCs w:val="21"/>
        </w:rPr>
        <w:drawing>
          <wp:inline distT="0" distB="0" distL="0" distR="0">
            <wp:extent cx="1849755" cy="4005580"/>
            <wp:effectExtent l="0" t="0" r="0" b="0"/>
            <wp:docPr id="432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47"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860325" cy="4028297"/>
                    </a:xfrm>
                    <a:prstGeom prst="rect">
                      <a:avLst/>
                    </a:prstGeom>
                    <a:noFill/>
                    <a:ln>
                      <a:noFill/>
                    </a:ln>
                  </pic:spPr>
                </pic:pic>
              </a:graphicData>
            </a:graphic>
          </wp:inline>
        </w:drawing>
      </w:r>
    </w:p>
    <w:p w14:paraId="26A8F5BA">
      <w:pPr>
        <w:ind w:firstLine="0" w:firstLineChars="0"/>
        <w:jc w:val="center"/>
        <w:rPr>
          <w:rFonts w:hint="eastAsia" w:ascii="宋体" w:hAnsi="宋体" w:eastAsia="宋体"/>
          <w:sz w:val="21"/>
          <w:szCs w:val="21"/>
        </w:rPr>
      </w:pPr>
      <w:r>
        <w:rPr>
          <w:rFonts w:hint="eastAsia" w:ascii="宋体" w:hAnsi="宋体" w:eastAsia="宋体"/>
          <w:sz w:val="21"/>
          <w:szCs w:val="21"/>
        </w:rPr>
        <w:t>图7 轻流低代码平台数据采集</w:t>
      </w:r>
    </w:p>
    <w:p w14:paraId="3AE7AE6C">
      <w:pPr>
        <w:ind w:firstLine="0" w:firstLineChars="0"/>
        <w:jc w:val="center"/>
      </w:pPr>
      <w:r>
        <w:drawing>
          <wp:inline distT="0" distB="0" distL="0" distR="0">
            <wp:extent cx="1755140" cy="3429000"/>
            <wp:effectExtent l="0" t="0" r="0" b="0"/>
            <wp:docPr id="4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55237" cy="3429213"/>
                    </a:xfrm>
                    <a:prstGeom prst="rect">
                      <a:avLst/>
                    </a:prstGeom>
                  </pic:spPr>
                </pic:pic>
              </a:graphicData>
            </a:graphic>
          </wp:inline>
        </w:drawing>
      </w:r>
      <w:r>
        <w:t xml:space="preserve"> </w:t>
      </w:r>
      <w:r>
        <w:rPr>
          <w:b/>
          <w:bCs/>
        </w:rPr>
        <w:drawing>
          <wp:inline distT="0" distB="0" distL="0" distR="0">
            <wp:extent cx="1755140" cy="3429000"/>
            <wp:effectExtent l="0" t="0" r="0" b="0"/>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5237" cy="3429213"/>
                    </a:xfrm>
                    <a:prstGeom prst="rect">
                      <a:avLst/>
                    </a:prstGeom>
                  </pic:spPr>
                </pic:pic>
              </a:graphicData>
            </a:graphic>
          </wp:inline>
        </w:drawing>
      </w:r>
    </w:p>
    <w:p w14:paraId="651B3482">
      <w:pPr>
        <w:ind w:firstLine="0" w:firstLineChars="0"/>
        <w:jc w:val="center"/>
        <w:rPr>
          <w:rFonts w:hint="eastAsia" w:ascii="宋体" w:hAnsi="宋体" w:eastAsia="宋体"/>
          <w:sz w:val="21"/>
          <w:szCs w:val="21"/>
        </w:rPr>
      </w:pPr>
      <w:r>
        <w:rPr>
          <w:rFonts w:hint="eastAsia" w:ascii="宋体" w:hAnsi="宋体" w:eastAsia="宋体"/>
          <w:sz w:val="21"/>
          <w:szCs w:val="21"/>
        </w:rPr>
        <w:t>图8 小程序端烤房调剂与报修功能</w:t>
      </w:r>
    </w:p>
    <w:p w14:paraId="5FBA3FCF">
      <w:pPr>
        <w:ind w:firstLine="0" w:firstLineChars="0"/>
        <w:jc w:val="center"/>
        <w:rPr>
          <w:sz w:val="21"/>
          <w:szCs w:val="21"/>
        </w:rPr>
      </w:pPr>
    </w:p>
    <w:p w14:paraId="072EC736">
      <w:pPr>
        <w:ind w:firstLine="0" w:firstLineChars="0"/>
        <w:jc w:val="center"/>
        <w:rPr>
          <w:sz w:val="21"/>
          <w:szCs w:val="21"/>
        </w:rPr>
      </w:pPr>
    </w:p>
    <w:p w14:paraId="289D2262">
      <w:pPr>
        <w:ind w:firstLine="0" w:firstLineChars="0"/>
        <w:jc w:val="center"/>
        <w:rPr>
          <w:sz w:val="21"/>
          <w:szCs w:val="21"/>
        </w:rPr>
      </w:pPr>
    </w:p>
    <w:p w14:paraId="2F3CD32F">
      <w:pPr>
        <w:ind w:firstLine="0" w:firstLineChars="0"/>
        <w:jc w:val="center"/>
        <w:rPr>
          <w:sz w:val="21"/>
          <w:szCs w:val="21"/>
        </w:rPr>
      </w:pPr>
    </w:p>
    <w:p w14:paraId="4B7E73C9">
      <w:pPr>
        <w:ind w:firstLine="0" w:firstLineChars="0"/>
        <w:jc w:val="center"/>
        <w:rPr>
          <w:sz w:val="21"/>
          <w:szCs w:val="21"/>
        </w:rPr>
      </w:pPr>
    </w:p>
    <w:p w14:paraId="4D2CCB52">
      <w:pPr>
        <w:ind w:firstLine="0" w:firstLineChars="0"/>
        <w:jc w:val="center"/>
        <w:rPr>
          <w:b/>
          <w:bCs/>
          <w:sz w:val="21"/>
          <w:szCs w:val="21"/>
        </w:rPr>
      </w:pPr>
      <w:r>
        <w:rPr>
          <w:b/>
          <w:bCs/>
          <w:sz w:val="21"/>
          <w:szCs w:val="21"/>
        </w:rPr>
        <w:drawing>
          <wp:inline distT="0" distB="0" distL="0" distR="0">
            <wp:extent cx="5085715" cy="2320290"/>
            <wp:effectExtent l="0" t="0" r="635" b="3810"/>
            <wp:docPr id="52" name="图片 51"/>
            <wp:cNvGraphicFramePr/>
            <a:graphic xmlns:a="http://schemas.openxmlformats.org/drawingml/2006/main">
              <a:graphicData uri="http://schemas.openxmlformats.org/drawingml/2006/picture">
                <pic:pic xmlns:pic="http://schemas.openxmlformats.org/drawingml/2006/picture">
                  <pic:nvPicPr>
                    <pic:cNvPr id="52" name="图片 51"/>
                    <pic:cNvPicPr/>
                  </pic:nvPicPr>
                  <pic:blipFill>
                    <a:blip r:embed="rId21"/>
                    <a:srcRect t="400" r="6191" b="5056"/>
                    <a:stretch>
                      <a:fillRect/>
                    </a:stretch>
                  </pic:blipFill>
                  <pic:spPr>
                    <a:xfrm>
                      <a:off x="0" y="0"/>
                      <a:ext cx="5183517" cy="2365106"/>
                    </a:xfrm>
                    <a:prstGeom prst="rect">
                      <a:avLst/>
                    </a:prstGeom>
                  </pic:spPr>
                </pic:pic>
              </a:graphicData>
            </a:graphic>
          </wp:inline>
        </w:drawing>
      </w:r>
    </w:p>
    <w:p w14:paraId="4A80F8CE">
      <w:pPr>
        <w:ind w:firstLine="0" w:firstLineChars="0"/>
        <w:jc w:val="center"/>
        <w:rPr>
          <w:rFonts w:hint="eastAsia" w:ascii="宋体" w:hAnsi="宋体" w:eastAsia="宋体"/>
          <w:sz w:val="21"/>
          <w:szCs w:val="21"/>
        </w:rPr>
      </w:pPr>
      <w:r>
        <w:rPr>
          <w:rFonts w:hint="eastAsia" w:ascii="宋体" w:hAnsi="宋体" w:eastAsia="宋体"/>
          <w:sz w:val="21"/>
          <w:szCs w:val="21"/>
        </w:rPr>
        <w:t>图9 web端后台管理界面</w:t>
      </w:r>
    </w:p>
    <w:p w14:paraId="50D5E5E1">
      <w:pPr>
        <w:ind w:firstLine="0" w:firstLineChars="0"/>
        <w:jc w:val="center"/>
        <w:rPr>
          <w:rFonts w:hint="eastAsia" w:ascii="宋体" w:hAnsi="宋体"/>
          <w:sz w:val="21"/>
          <w:szCs w:val="21"/>
        </w:rPr>
      </w:pPr>
      <w:r>
        <w:rPr>
          <w:rFonts w:ascii="宋体" w:hAnsi="宋体"/>
          <w:sz w:val="21"/>
          <w:szCs w:val="21"/>
        </w:rPr>
        <w:drawing>
          <wp:inline distT="0" distB="0" distL="0" distR="0">
            <wp:extent cx="5274310" cy="3119120"/>
            <wp:effectExtent l="0" t="0" r="2540" b="5080"/>
            <wp:docPr id="4" name="0825-1-ai助手"/>
            <wp:cNvGraphicFramePr/>
            <a:graphic xmlns:a="http://schemas.openxmlformats.org/drawingml/2006/main">
              <a:graphicData uri="http://schemas.openxmlformats.org/drawingml/2006/picture">
                <pic:pic xmlns:pic="http://schemas.openxmlformats.org/drawingml/2006/picture">
                  <pic:nvPicPr>
                    <pic:cNvPr id="4" name="0825-1-ai助手"/>
                    <pic:cNvPicPr/>
                  </pic:nvPicPr>
                  <pic:blipFill>
                    <a:blip r:embed="rId22"/>
                    <a:srcRect t="4368"/>
                    <a:stretch>
                      <a:fillRect/>
                    </a:stretch>
                  </pic:blipFill>
                  <pic:spPr>
                    <a:xfrm>
                      <a:off x="0" y="0"/>
                      <a:ext cx="5274310" cy="3119491"/>
                    </a:xfrm>
                    <a:prstGeom prst="rect">
                      <a:avLst/>
                    </a:prstGeom>
                    <a:ln>
                      <a:noFill/>
                    </a:ln>
                  </pic:spPr>
                </pic:pic>
              </a:graphicData>
            </a:graphic>
          </wp:inline>
        </w:drawing>
      </w:r>
    </w:p>
    <w:p w14:paraId="38E0C9EC">
      <w:pPr>
        <w:ind w:firstLine="0" w:firstLineChars="0"/>
        <w:jc w:val="center"/>
        <w:rPr>
          <w:rFonts w:hint="eastAsia" w:ascii="宋体" w:hAnsi="宋体" w:eastAsia="宋体"/>
          <w:sz w:val="21"/>
          <w:szCs w:val="21"/>
        </w:rPr>
      </w:pPr>
      <w:r>
        <w:rPr>
          <w:rFonts w:hint="eastAsia" w:ascii="宋体" w:hAnsi="宋体" w:eastAsia="宋体"/>
          <w:sz w:val="21"/>
          <w:szCs w:val="21"/>
        </w:rPr>
        <w:t>图10 web端AI助手</w:t>
      </w:r>
    </w:p>
    <w:p w14:paraId="22AF2CC4">
      <w:pPr>
        <w:pStyle w:val="3"/>
        <w:rPr>
          <w:rFonts w:hint="eastAsia"/>
        </w:rPr>
      </w:pPr>
      <w:r>
        <w:t>六、结果验证</w:t>
      </w:r>
    </w:p>
    <w:p w14:paraId="3555205D">
      <w:pPr>
        <w:ind w:firstLine="640"/>
      </w:pPr>
      <w:r>
        <w:rPr>
          <w:rFonts w:hint="eastAsia"/>
        </w:rPr>
        <w:t>1. 烤房数据库建设，完成了秭归县2442座烤房信息采集全覆盖；数据量比原设计（1600栋）增加近52%，每个烤房进行健康评价。</w:t>
      </w:r>
    </w:p>
    <w:p w14:paraId="1DC75C5D">
      <w:pPr>
        <w:ind w:firstLine="640"/>
      </w:pPr>
      <w:r>
        <w:rPr>
          <w:rFonts w:hint="eastAsia"/>
        </w:rPr>
        <w:t>2. 通过平台工单时间记录，对16条抢修工单进行统计。平均响应时间为0.38小时；在线调剂处于试点之中。</w:t>
      </w:r>
    </w:p>
    <w:p w14:paraId="042F27B1">
      <w:pPr>
        <w:ind w:firstLine="640"/>
      </w:pPr>
      <w:r>
        <w:rPr>
          <w:rFonts w:hint="eastAsia"/>
        </w:rPr>
        <w:t>3. 采取匿名问卷和服务评价相结合的方式开展回访，共发放问卷 600份，获得有效反馈581份，综合满意度为96.84%。</w:t>
      </w:r>
    </w:p>
    <w:p w14:paraId="201264DB">
      <w:pPr>
        <w:ind w:firstLine="640"/>
      </w:pPr>
      <w:r>
        <w:rPr>
          <w:rFonts w:hint="eastAsia"/>
        </w:rPr>
        <w:t>4. 围绕合作社主体责任、四支服务队职责，合作社修订《烟叶基础设备管护方案》；行业部门制定《宜昌市烟叶调制设施管护操作规范》。</w:t>
      </w:r>
    </w:p>
    <w:p w14:paraId="7CB3D7D5">
      <w:pPr>
        <w:ind w:firstLine="0" w:firstLineChars="0"/>
        <w:jc w:val="center"/>
      </w:pPr>
      <w:r>
        <w:drawing>
          <wp:inline distT="0" distB="0" distL="114300" distR="114300">
            <wp:extent cx="4768850" cy="2899410"/>
            <wp:effectExtent l="0" t="0" r="1270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4768850" cy="2899410"/>
                    </a:xfrm>
                    <a:prstGeom prst="rect">
                      <a:avLst/>
                    </a:prstGeom>
                    <a:noFill/>
                    <a:ln>
                      <a:noFill/>
                    </a:ln>
                  </pic:spPr>
                </pic:pic>
              </a:graphicData>
            </a:graphic>
          </wp:inline>
        </w:drawing>
      </w:r>
    </w:p>
    <w:p w14:paraId="1A6C0203">
      <w:pPr>
        <w:ind w:firstLine="0" w:firstLineChars="0"/>
        <w:jc w:val="center"/>
        <w:rPr>
          <w:rFonts w:hint="eastAsia" w:ascii="宋体" w:hAnsi="宋体" w:eastAsia="宋体"/>
          <w:sz w:val="21"/>
          <w:szCs w:val="21"/>
        </w:rPr>
      </w:pPr>
      <w:r>
        <w:rPr>
          <w:rFonts w:hint="eastAsia" w:ascii="宋体" w:hAnsi="宋体" w:eastAsia="宋体"/>
          <w:sz w:val="21"/>
          <w:szCs w:val="21"/>
        </w:rPr>
        <w:t>图11 相关文件截图</w:t>
      </w:r>
    </w:p>
    <w:p w14:paraId="3C95FBD7">
      <w:pPr>
        <w:pStyle w:val="3"/>
        <w:rPr>
          <w:rFonts w:hint="eastAsia"/>
        </w:rPr>
      </w:pPr>
      <w:r>
        <w:rPr>
          <w:rFonts w:hint="eastAsia"/>
        </w:rPr>
        <w:t>七、总结评估</w:t>
      </w:r>
    </w:p>
    <w:p w14:paraId="60EB3D45">
      <w:pPr>
        <w:pStyle w:val="4"/>
        <w:rPr>
          <w:rFonts w:hint="eastAsia" w:ascii="仿宋_GB2312" w:eastAsia="仿宋_GB2312"/>
        </w:rPr>
      </w:pPr>
      <w:r>
        <w:rPr>
          <w:rFonts w:hint="eastAsia" w:ascii="仿宋_GB2312" w:eastAsia="仿宋_GB2312"/>
        </w:rPr>
        <w:t>（一）创新成效</w:t>
      </w:r>
    </w:p>
    <w:p w14:paraId="3B9A7BEC">
      <w:pPr>
        <w:ind w:firstLine="640"/>
      </w:pPr>
      <w:r>
        <w:t>项目构建烤房健康评估和</w:t>
      </w:r>
      <w:r>
        <w:rPr>
          <w:rFonts w:hint="eastAsia"/>
        </w:rPr>
        <w:t>村级</w:t>
      </w:r>
      <w:r>
        <w:t>发展导引两个模型，推动烤房管理由经验判断向量化决策转变。健康评估模型综合部件状态、使用年限和维修记录，计算健康分与剩余寿命，找准风险部位和修复次序；</w:t>
      </w:r>
      <w:r>
        <w:rPr>
          <w:rFonts w:hint="eastAsia"/>
        </w:rPr>
        <w:t>村级</w:t>
      </w:r>
      <w:r>
        <w:t>发展导引模型结合有效烤能、烟叶需求和村级发展条件，科学</w:t>
      </w:r>
      <w:r>
        <w:rPr>
          <w:rFonts w:hint="eastAsia"/>
        </w:rPr>
        <w:t>提供新建烤房依据</w:t>
      </w:r>
      <w:r>
        <w:t>。两个模型相互衔接，为烤房抢修、修复、新建和资金</w:t>
      </w:r>
      <w:r>
        <w:rPr>
          <w:rFonts w:hint="eastAsia"/>
        </w:rPr>
        <w:t>合理</w:t>
      </w:r>
      <w:r>
        <w:t>安排提供统一</w:t>
      </w:r>
      <w:r>
        <w:rPr>
          <w:rFonts w:hint="eastAsia"/>
        </w:rPr>
        <w:t>数据支撑</w:t>
      </w:r>
      <w:r>
        <w:t>。</w:t>
      </w:r>
    </w:p>
    <w:p w14:paraId="3090F03E">
      <w:pPr>
        <w:pStyle w:val="4"/>
        <w:rPr>
          <w:rFonts w:hint="eastAsia" w:ascii="仿宋_GB2312" w:eastAsia="仿宋_GB2312"/>
        </w:rPr>
      </w:pPr>
      <w:r>
        <w:rPr>
          <w:rFonts w:hint="eastAsia" w:ascii="仿宋_GB2312" w:eastAsia="仿宋_GB2312"/>
        </w:rPr>
        <w:t>（二）应用前景</w:t>
      </w:r>
    </w:p>
    <w:p w14:paraId="435D3664">
      <w:pPr>
        <w:ind w:right="280" w:firstLine="0" w:firstLineChars="0"/>
        <w:jc w:val="center"/>
      </w:pPr>
      <w:r>
        <w:drawing>
          <wp:inline distT="0" distB="0" distL="0" distR="0">
            <wp:extent cx="4817110" cy="2169795"/>
            <wp:effectExtent l="0" t="0" r="2540" b="1905"/>
            <wp:docPr id="11080761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76129" name="图片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829278" cy="2175675"/>
                    </a:xfrm>
                    <a:prstGeom prst="rect">
                      <a:avLst/>
                    </a:prstGeom>
                    <a:noFill/>
                    <a:ln>
                      <a:noFill/>
                    </a:ln>
                  </pic:spPr>
                </pic:pic>
              </a:graphicData>
            </a:graphic>
          </wp:inline>
        </w:drawing>
      </w:r>
    </w:p>
    <w:p w14:paraId="69FC792F">
      <w:pPr>
        <w:ind w:right="280" w:firstLine="0" w:firstLineChars="0"/>
        <w:jc w:val="center"/>
        <w:rPr>
          <w:rFonts w:hint="eastAsia" w:ascii="宋体" w:hAnsi="宋体" w:eastAsia="宋体"/>
          <w:sz w:val="21"/>
          <w:szCs w:val="21"/>
        </w:rPr>
      </w:pPr>
      <w:r>
        <w:rPr>
          <w:rFonts w:hint="eastAsia" w:ascii="宋体" w:hAnsi="宋体" w:eastAsia="宋体"/>
          <w:sz w:val="21"/>
          <w:szCs w:val="21"/>
        </w:rPr>
        <w:t>图12 应用阶段展望</w:t>
      </w:r>
    </w:p>
    <w:p w14:paraId="15C1FEA2">
      <w:pPr>
        <w:ind w:firstLine="640"/>
      </w:pPr>
      <w:r>
        <w:rPr>
          <w:rFonts w:hint="eastAsia"/>
        </w:rPr>
        <w:t>该模式已在宜昌市秭归县烤烟区运行一个烘烤季，核实基础数据、岗位责任和统计口径后，再向市域内其他区县推广。推广时只需结合当地烤房编号、审批流程、服务半径和队伍配置调整基础参数。</w:t>
      </w:r>
    </w:p>
    <w:p w14:paraId="4E52384F">
      <w:pPr>
        <w:ind w:firstLine="640"/>
      </w:pPr>
      <w:r>
        <w:rPr>
          <w:rFonts w:hint="eastAsia"/>
        </w:rPr>
        <w:t>随着数据逐年积累，可进一步分析不同烤房的使用负荷、故障规律和修复投入，辅助编制年度建设与资金计划；还可把服务队任务完成情况与培训、考核相结合，持续提高合作社专业化服务能力。</w:t>
      </w:r>
    </w:p>
    <w:p w14:paraId="43471607">
      <w:pPr>
        <w:pStyle w:val="4"/>
        <w:rPr>
          <w:rFonts w:hint="eastAsia" w:ascii="仿宋_GB2312" w:eastAsia="仿宋_GB2312"/>
        </w:rPr>
      </w:pPr>
      <w:r>
        <w:rPr>
          <w:rFonts w:hint="eastAsia" w:ascii="仿宋_GB2312" w:eastAsia="仿宋_GB2312"/>
        </w:rPr>
        <w:t>（三）总结及打算</w:t>
      </w:r>
    </w:p>
    <w:p w14:paraId="1924D087">
      <w:pPr>
        <w:ind w:firstLine="640"/>
      </w:pPr>
      <w:r>
        <w:t>本项目围绕烤房使用、投入和管护全过程，构建基础数据库、两个模型和协同管理平台，推动调剂、抢修、养护、修复及新建业务在线协同。</w:t>
      </w:r>
    </w:p>
    <w:p w14:paraId="3460978C">
      <w:pPr>
        <w:ind w:firstLine="640"/>
      </w:pPr>
      <w:r>
        <w:t>下一步将持续补充基础数据，优化模型参数，进一步规范合作社人员、资金管理，</w:t>
      </w:r>
      <w:r>
        <w:rPr>
          <w:rFonts w:hint="eastAsia"/>
        </w:rPr>
        <w:t>强化</w:t>
      </w:r>
      <w:r>
        <w:t>四支服务队</w:t>
      </w:r>
      <w:r>
        <w:rPr>
          <w:rFonts w:hint="eastAsia"/>
        </w:rPr>
        <w:t>人员素质，</w:t>
      </w:r>
      <w:r>
        <w:t>促进合作社管理有序、服务高效、运行良好。</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40"/>
      </w:pPr>
      <w:r>
        <w:separator/>
      </w:r>
    </w:p>
  </w:endnote>
  <w:endnote w:type="continuationSeparator" w:id="1">
    <w:p>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黑体">
    <w:altName w:val="汉仪中黑KW"/>
    <w:panose1 w:val="00000000000000000000"/>
    <w:charset w:val="00"/>
    <w:family w:val="auto"/>
    <w:pitch w:val="default"/>
    <w:sig w:usb0="00000000" w:usb1="00000000" w:usb2="00000000" w:usb3="00000000" w:csb0="00000000" w:csb1="00000000"/>
  </w:font>
  <w:font w:name="方正小标宋简体">
    <w:panose1 w:val="03000509000000000000"/>
    <w:charset w:val="86"/>
    <w:family w:val="auto"/>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10" w:usb3="00000000" w:csb0="0004009F" w:csb1="00000000"/>
  </w:font>
  <w:font w:name="方正楷体">
    <w:altName w:val="楷体_GB2312"/>
    <w:panose1 w:val="00000000000000000000"/>
    <w:charset w:val="86"/>
    <w:family w:val="script"/>
    <w:pitch w:val="default"/>
    <w:sig w:usb0="00000000" w:usb1="00000000" w:usb2="00000010" w:usb3="00000000" w:csb0="00040000" w:csb1="00000000"/>
  </w:font>
  <w:font w:name="方正仿宋">
    <w:altName w:val="仿宋-简"/>
    <w:panose1 w:val="00000000000000000000"/>
    <w:charset w:val="86"/>
    <w:family w:val="script"/>
    <w:pitch w:val="default"/>
    <w:sig w:usb0="00000000" w:usb1="00000000" w:usb2="00000010" w:usb3="00000000" w:csb0="00040000" w:csb1="00000000"/>
  </w:font>
  <w:font w:name="仿宋">
    <w:altName w:val="仿宋-简"/>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楷体_GB2312">
    <w:panose1 w:val="02010609030101010101"/>
    <w:charset w:val="86"/>
    <w:family w:val="auto"/>
    <w:pitch w:val="default"/>
    <w:sig w:usb0="00000001" w:usb1="080E0000" w:usb2="00000000" w:usb3="00000000" w:csb0="00040000" w:csb1="00000000"/>
  </w:font>
  <w:font w:name="仿宋-简">
    <w:panose1 w:val="02010609060101010101"/>
    <w:charset w:val="86"/>
    <w:family w:val="auto"/>
    <w:pitch w:val="default"/>
    <w:sig w:usb0="A00002BF" w:usb1="3A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5BAD7">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1CF73">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49947">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40"/>
      </w:pPr>
      <w:r>
        <w:separator/>
      </w:r>
    </w:p>
  </w:footnote>
  <w:footnote w:type="continuationSeparator" w:id="1">
    <w:p>
      <w:pPr>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79E06">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9C15B">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73C08">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7C1A24"/>
    <w:multiLevelType w:val="multilevel"/>
    <w:tmpl w:val="317C1A2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315605B"/>
    <w:multiLevelType w:val="multilevel"/>
    <w:tmpl w:val="3315605B"/>
    <w:lvl w:ilvl="0" w:tentative="0">
      <w:start w:val="1"/>
      <w:numFmt w:val="decimal"/>
      <w:lvlText w:val="%1."/>
      <w:lvlJc w:val="left"/>
      <w:pPr>
        <w:ind w:left="360" w:hanging="360"/>
      </w:pPr>
      <w:rPr>
        <w:rFonts w:hint="default" w:ascii="Times New Roman" w:hAnsi="Times New Roman" w:eastAsia="黑体"/>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F46"/>
    <w:rsid w:val="00004AB1"/>
    <w:rsid w:val="00011721"/>
    <w:rsid w:val="00017DD0"/>
    <w:rsid w:val="00037D0E"/>
    <w:rsid w:val="0007075F"/>
    <w:rsid w:val="0007743F"/>
    <w:rsid w:val="00083B51"/>
    <w:rsid w:val="000B5769"/>
    <w:rsid w:val="000C22E6"/>
    <w:rsid w:val="000D57CF"/>
    <w:rsid w:val="000F5264"/>
    <w:rsid w:val="00123D98"/>
    <w:rsid w:val="00124E3F"/>
    <w:rsid w:val="00131E2A"/>
    <w:rsid w:val="00143015"/>
    <w:rsid w:val="00160021"/>
    <w:rsid w:val="00166A59"/>
    <w:rsid w:val="001834EC"/>
    <w:rsid w:val="001849DE"/>
    <w:rsid w:val="0018577B"/>
    <w:rsid w:val="001964E7"/>
    <w:rsid w:val="001A5916"/>
    <w:rsid w:val="001A79F2"/>
    <w:rsid w:val="001B08DF"/>
    <w:rsid w:val="001C35F1"/>
    <w:rsid w:val="001C4EDA"/>
    <w:rsid w:val="001D3353"/>
    <w:rsid w:val="00251275"/>
    <w:rsid w:val="002701B5"/>
    <w:rsid w:val="002777CD"/>
    <w:rsid w:val="00287280"/>
    <w:rsid w:val="00294B7F"/>
    <w:rsid w:val="002952CF"/>
    <w:rsid w:val="002A582B"/>
    <w:rsid w:val="002B1757"/>
    <w:rsid w:val="002B493F"/>
    <w:rsid w:val="003051A5"/>
    <w:rsid w:val="0031047A"/>
    <w:rsid w:val="0031103B"/>
    <w:rsid w:val="00312EBF"/>
    <w:rsid w:val="003324C1"/>
    <w:rsid w:val="0037256B"/>
    <w:rsid w:val="00391828"/>
    <w:rsid w:val="003A48A2"/>
    <w:rsid w:val="003D33DE"/>
    <w:rsid w:val="003E3087"/>
    <w:rsid w:val="003F3A4F"/>
    <w:rsid w:val="0041655C"/>
    <w:rsid w:val="004353F9"/>
    <w:rsid w:val="00446F3A"/>
    <w:rsid w:val="004528F7"/>
    <w:rsid w:val="0045520B"/>
    <w:rsid w:val="00465DB3"/>
    <w:rsid w:val="00487AC0"/>
    <w:rsid w:val="00494F52"/>
    <w:rsid w:val="004B3F5E"/>
    <w:rsid w:val="004C47DA"/>
    <w:rsid w:val="004D796D"/>
    <w:rsid w:val="004E3179"/>
    <w:rsid w:val="004F015B"/>
    <w:rsid w:val="004F66D3"/>
    <w:rsid w:val="00500484"/>
    <w:rsid w:val="005030AA"/>
    <w:rsid w:val="00512EF2"/>
    <w:rsid w:val="00537793"/>
    <w:rsid w:val="005957B4"/>
    <w:rsid w:val="005F6023"/>
    <w:rsid w:val="00603FD5"/>
    <w:rsid w:val="00620AEE"/>
    <w:rsid w:val="00630AD7"/>
    <w:rsid w:val="00647CBE"/>
    <w:rsid w:val="0067427F"/>
    <w:rsid w:val="00677A4B"/>
    <w:rsid w:val="006A3C2D"/>
    <w:rsid w:val="006A7A59"/>
    <w:rsid w:val="006C7106"/>
    <w:rsid w:val="007349C1"/>
    <w:rsid w:val="00740DE1"/>
    <w:rsid w:val="00744F30"/>
    <w:rsid w:val="007505F6"/>
    <w:rsid w:val="007564BC"/>
    <w:rsid w:val="00760011"/>
    <w:rsid w:val="0077010D"/>
    <w:rsid w:val="007B33B2"/>
    <w:rsid w:val="007B5E98"/>
    <w:rsid w:val="007D5D71"/>
    <w:rsid w:val="007E3C0F"/>
    <w:rsid w:val="007F70C8"/>
    <w:rsid w:val="00805C55"/>
    <w:rsid w:val="00856D3C"/>
    <w:rsid w:val="00877B7B"/>
    <w:rsid w:val="008972E8"/>
    <w:rsid w:val="008A3055"/>
    <w:rsid w:val="0090425D"/>
    <w:rsid w:val="00917760"/>
    <w:rsid w:val="009265F2"/>
    <w:rsid w:val="009473CB"/>
    <w:rsid w:val="0095163B"/>
    <w:rsid w:val="0096150F"/>
    <w:rsid w:val="0097182F"/>
    <w:rsid w:val="009736EE"/>
    <w:rsid w:val="009863AB"/>
    <w:rsid w:val="009A3BF8"/>
    <w:rsid w:val="009C01AE"/>
    <w:rsid w:val="009C2FB5"/>
    <w:rsid w:val="00A01D01"/>
    <w:rsid w:val="00A13E67"/>
    <w:rsid w:val="00A25690"/>
    <w:rsid w:val="00A61E0D"/>
    <w:rsid w:val="00A72947"/>
    <w:rsid w:val="00A80181"/>
    <w:rsid w:val="00A84245"/>
    <w:rsid w:val="00AA7D1A"/>
    <w:rsid w:val="00AD6025"/>
    <w:rsid w:val="00AE718F"/>
    <w:rsid w:val="00AF1AAE"/>
    <w:rsid w:val="00B1167C"/>
    <w:rsid w:val="00B254DD"/>
    <w:rsid w:val="00B36358"/>
    <w:rsid w:val="00B4659B"/>
    <w:rsid w:val="00B6705E"/>
    <w:rsid w:val="00B7462D"/>
    <w:rsid w:val="00B80BF2"/>
    <w:rsid w:val="00BA6DDC"/>
    <w:rsid w:val="00BC5E8C"/>
    <w:rsid w:val="00BD7443"/>
    <w:rsid w:val="00BE762E"/>
    <w:rsid w:val="00C4572F"/>
    <w:rsid w:val="00C64C66"/>
    <w:rsid w:val="00CD0D89"/>
    <w:rsid w:val="00CE3F46"/>
    <w:rsid w:val="00CF7B79"/>
    <w:rsid w:val="00D12AA6"/>
    <w:rsid w:val="00D33107"/>
    <w:rsid w:val="00D37E7F"/>
    <w:rsid w:val="00D424F0"/>
    <w:rsid w:val="00D54C10"/>
    <w:rsid w:val="00D818F1"/>
    <w:rsid w:val="00DB552E"/>
    <w:rsid w:val="00DC697E"/>
    <w:rsid w:val="00DD69E1"/>
    <w:rsid w:val="00DF6FB4"/>
    <w:rsid w:val="00E01105"/>
    <w:rsid w:val="00E206F6"/>
    <w:rsid w:val="00E302E5"/>
    <w:rsid w:val="00E4133B"/>
    <w:rsid w:val="00E51418"/>
    <w:rsid w:val="00E62331"/>
    <w:rsid w:val="00EA1B32"/>
    <w:rsid w:val="00EB2C34"/>
    <w:rsid w:val="00EB2D2A"/>
    <w:rsid w:val="00F27966"/>
    <w:rsid w:val="00F574C5"/>
    <w:rsid w:val="00F67455"/>
    <w:rsid w:val="00F821B9"/>
    <w:rsid w:val="00F84199"/>
    <w:rsid w:val="00FE2875"/>
    <w:rsid w:val="00FF07DB"/>
    <w:rsid w:val="059341B1"/>
    <w:rsid w:val="06D0297F"/>
    <w:rsid w:val="08745108"/>
    <w:rsid w:val="0A9D77AC"/>
    <w:rsid w:val="0BAE2DFD"/>
    <w:rsid w:val="0FC552B4"/>
    <w:rsid w:val="14142F81"/>
    <w:rsid w:val="1BFE19D6"/>
    <w:rsid w:val="1D6F71BC"/>
    <w:rsid w:val="1F0B0D3E"/>
    <w:rsid w:val="210821C0"/>
    <w:rsid w:val="276C6D8F"/>
    <w:rsid w:val="2C2363E6"/>
    <w:rsid w:val="33A53035"/>
    <w:rsid w:val="37FF5D6B"/>
    <w:rsid w:val="46CC76DC"/>
    <w:rsid w:val="4AA44350"/>
    <w:rsid w:val="4B6F6704"/>
    <w:rsid w:val="5285086E"/>
    <w:rsid w:val="54D810E8"/>
    <w:rsid w:val="55A364A7"/>
    <w:rsid w:val="564B20A8"/>
    <w:rsid w:val="5C2A0EF0"/>
    <w:rsid w:val="5C2F5CF5"/>
    <w:rsid w:val="5E356269"/>
    <w:rsid w:val="5F130119"/>
    <w:rsid w:val="5F403F51"/>
    <w:rsid w:val="5F7679C4"/>
    <w:rsid w:val="64EB708F"/>
    <w:rsid w:val="65662279"/>
    <w:rsid w:val="66F0347B"/>
    <w:rsid w:val="6D601FA8"/>
    <w:rsid w:val="6EE36ECA"/>
    <w:rsid w:val="70383246"/>
    <w:rsid w:val="F9FFF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仿宋_GB2312" w:cstheme="minorBidi"/>
      <w:kern w:val="2"/>
      <w:sz w:val="32"/>
      <w:szCs w:val="24"/>
      <w:lang w:val="en-US" w:eastAsia="zh-CN" w:bidi="ar-SA"/>
      <w14:ligatures w14:val="standardContextual"/>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2"/>
    <w:unhideWhenUsed/>
    <w:qFormat/>
    <w:uiPriority w:val="9"/>
    <w:pPr>
      <w:keepNext/>
      <w:keepLines/>
      <w:spacing w:before="160" w:after="80"/>
      <w:ind w:firstLine="0" w:firstLineChars="0"/>
      <w:outlineLvl w:val="1"/>
    </w:pPr>
    <w:rPr>
      <w:rFonts w:eastAsia="黑体" w:asciiTheme="majorHAnsi" w:hAnsiTheme="majorHAnsi" w:cstheme="majorBidi"/>
      <w:szCs w:val="40"/>
    </w:rPr>
  </w:style>
  <w:style w:type="paragraph" w:styleId="4">
    <w:name w:val="heading 3"/>
    <w:basedOn w:val="1"/>
    <w:next w:val="1"/>
    <w:link w:val="23"/>
    <w:unhideWhenUsed/>
    <w:qFormat/>
    <w:uiPriority w:val="9"/>
    <w:pPr>
      <w:keepNext/>
      <w:keepLines/>
      <w:spacing w:before="160" w:after="80"/>
      <w:ind w:firstLine="0" w:firstLineChars="0"/>
      <w:outlineLvl w:val="2"/>
    </w:pPr>
    <w:rPr>
      <w:rFonts w:eastAsia="黑体" w:asciiTheme="majorHAnsi" w:hAnsiTheme="majorHAnsi" w:cstheme="majorBidi"/>
      <w:szCs w:val="32"/>
    </w:rPr>
  </w:style>
  <w:style w:type="paragraph" w:styleId="5">
    <w:name w:val="heading 4"/>
    <w:basedOn w:val="1"/>
    <w:next w:val="1"/>
    <w:link w:val="24"/>
    <w:unhideWhenUsed/>
    <w:qFormat/>
    <w:uiPriority w:val="9"/>
    <w:pPr>
      <w:keepNext/>
      <w:keepLines/>
      <w:spacing w:before="80" w:after="40"/>
      <w:ind w:firstLine="0" w:firstLineChars="0"/>
      <w:outlineLvl w:val="3"/>
    </w:pPr>
    <w:rPr>
      <w:rFonts w:cstheme="majorBidi"/>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1"/>
    <w:unhideWhenUsed/>
    <w:uiPriority w:val="99"/>
    <w:pPr>
      <w:jc w:val="left"/>
    </w:pPr>
  </w:style>
  <w:style w:type="paragraph" w:styleId="12">
    <w:name w:val="footer"/>
    <w:basedOn w:val="1"/>
    <w:link w:val="40"/>
    <w:unhideWhenUsed/>
    <w:uiPriority w:val="99"/>
    <w:pPr>
      <w:tabs>
        <w:tab w:val="center" w:pos="4153"/>
        <w:tab w:val="right" w:pos="8306"/>
      </w:tabs>
      <w:snapToGrid w:val="0"/>
    </w:pPr>
    <w:rPr>
      <w:sz w:val="18"/>
      <w:szCs w:val="18"/>
    </w:rPr>
  </w:style>
  <w:style w:type="paragraph" w:styleId="13">
    <w:name w:val="header"/>
    <w:basedOn w:val="1"/>
    <w:link w:val="39"/>
    <w:unhideWhenUsed/>
    <w:uiPriority w:val="99"/>
    <w:pPr>
      <w:tabs>
        <w:tab w:val="center" w:pos="4153"/>
        <w:tab w:val="right" w:pos="8306"/>
      </w:tabs>
      <w:snapToGrid w:val="0"/>
      <w:jc w:val="center"/>
    </w:pPr>
    <w:rPr>
      <w:sz w:val="18"/>
      <w:szCs w:val="18"/>
    </w:rPr>
  </w:style>
  <w:style w:type="paragraph" w:styleId="14">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5">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42"/>
    <w:semiHidden/>
    <w:unhideWhenUsed/>
    <w:uiPriority w:val="99"/>
    <w:rPr>
      <w:b/>
      <w:bCs/>
    </w:rPr>
  </w:style>
  <w:style w:type="character" w:styleId="19">
    <w:name w:val="Strong"/>
    <w:basedOn w:val="18"/>
    <w:qFormat/>
    <w:uiPriority w:val="0"/>
    <w:rPr>
      <w:b/>
    </w:rPr>
  </w:style>
  <w:style w:type="character" w:styleId="20">
    <w:name w:val="annotation reference"/>
    <w:basedOn w:val="18"/>
    <w:semiHidden/>
    <w:unhideWhenUsed/>
    <w:qFormat/>
    <w:uiPriority w:val="99"/>
    <w:rPr>
      <w:sz w:val="21"/>
      <w:szCs w:val="21"/>
    </w:rPr>
  </w:style>
  <w:style w:type="character" w:customStyle="1" w:styleId="21">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2">
    <w:name w:val="标题 2 字符"/>
    <w:basedOn w:val="18"/>
    <w:link w:val="3"/>
    <w:qFormat/>
    <w:uiPriority w:val="9"/>
    <w:rPr>
      <w:rFonts w:eastAsia="黑体" w:asciiTheme="majorHAnsi" w:hAnsiTheme="majorHAnsi" w:cstheme="majorBidi"/>
      <w:sz w:val="32"/>
      <w:szCs w:val="40"/>
    </w:rPr>
  </w:style>
  <w:style w:type="character" w:customStyle="1" w:styleId="23">
    <w:name w:val="标题 3 字符"/>
    <w:basedOn w:val="18"/>
    <w:link w:val="4"/>
    <w:uiPriority w:val="9"/>
    <w:rPr>
      <w:rFonts w:eastAsia="黑体" w:asciiTheme="majorHAnsi" w:hAnsiTheme="majorHAnsi" w:cstheme="majorBidi"/>
      <w:sz w:val="28"/>
      <w:szCs w:val="32"/>
    </w:rPr>
  </w:style>
  <w:style w:type="character" w:customStyle="1" w:styleId="24">
    <w:name w:val="标题 4 字符"/>
    <w:basedOn w:val="18"/>
    <w:link w:val="5"/>
    <w:qFormat/>
    <w:uiPriority w:val="9"/>
    <w:rPr>
      <w:rFonts w:eastAsia="宋体" w:cstheme="majorBidi"/>
      <w:sz w:val="28"/>
      <w:szCs w:val="28"/>
    </w:rPr>
  </w:style>
  <w:style w:type="character" w:customStyle="1" w:styleId="25">
    <w:name w:val="标题 5 字符"/>
    <w:basedOn w:val="18"/>
    <w:link w:val="6"/>
    <w:semiHidden/>
    <w:qFormat/>
    <w:uiPriority w:val="9"/>
    <w:rPr>
      <w:rFonts w:cstheme="majorBidi"/>
      <w:color w:val="2F5597" w:themeColor="accent1" w:themeShade="BF"/>
      <w:sz w:val="24"/>
    </w:rPr>
  </w:style>
  <w:style w:type="character" w:customStyle="1" w:styleId="26">
    <w:name w:val="标题 6 字符"/>
    <w:basedOn w:val="18"/>
    <w:link w:val="7"/>
    <w:semiHidden/>
    <w:qFormat/>
    <w:uiPriority w:val="9"/>
    <w:rPr>
      <w:rFonts w:cstheme="majorBidi"/>
      <w:b/>
      <w:bCs/>
      <w:color w:val="2F5597" w:themeColor="accent1" w:themeShade="BF"/>
    </w:rPr>
  </w:style>
  <w:style w:type="character" w:customStyle="1" w:styleId="27">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8"/>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明显强调1"/>
    <w:basedOn w:val="18"/>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明显引用 字符"/>
    <w:basedOn w:val="18"/>
    <w:link w:val="36"/>
    <w:qFormat/>
    <w:uiPriority w:val="30"/>
    <w:rPr>
      <w:i/>
      <w:iCs/>
      <w:color w:val="2F5597" w:themeColor="accent1" w:themeShade="BF"/>
    </w:rPr>
  </w:style>
  <w:style w:type="character" w:customStyle="1" w:styleId="38">
    <w:name w:val="明显参考1"/>
    <w:basedOn w:val="18"/>
    <w:qFormat/>
    <w:uiPriority w:val="32"/>
    <w:rPr>
      <w:b/>
      <w:bCs/>
      <w:smallCaps/>
      <w:color w:val="2F5597" w:themeColor="accent1" w:themeShade="BF"/>
      <w:spacing w:val="5"/>
    </w:rPr>
  </w:style>
  <w:style w:type="character" w:customStyle="1" w:styleId="39">
    <w:name w:val="页眉 字符"/>
    <w:basedOn w:val="18"/>
    <w:link w:val="13"/>
    <w:uiPriority w:val="99"/>
    <w:rPr>
      <w:sz w:val="18"/>
      <w:szCs w:val="18"/>
    </w:rPr>
  </w:style>
  <w:style w:type="character" w:customStyle="1" w:styleId="40">
    <w:name w:val="页脚 字符"/>
    <w:basedOn w:val="18"/>
    <w:link w:val="12"/>
    <w:uiPriority w:val="99"/>
    <w:rPr>
      <w:sz w:val="18"/>
      <w:szCs w:val="18"/>
    </w:rPr>
  </w:style>
  <w:style w:type="character" w:customStyle="1" w:styleId="41">
    <w:name w:val="批注文字 字符"/>
    <w:basedOn w:val="18"/>
    <w:link w:val="11"/>
    <w:uiPriority w:val="99"/>
    <w:rPr>
      <w:rFonts w:eastAsia="宋体"/>
      <w:sz w:val="28"/>
    </w:rPr>
  </w:style>
  <w:style w:type="character" w:customStyle="1" w:styleId="42">
    <w:name w:val="批注主题 字符"/>
    <w:basedOn w:val="41"/>
    <w:link w:val="16"/>
    <w:semiHidden/>
    <w:uiPriority w:val="99"/>
    <w:rPr>
      <w:rFonts w:eastAsia="宋体"/>
      <w:b/>
      <w:bCs/>
      <w:sz w:val="28"/>
    </w:rPr>
  </w:style>
  <w:style w:type="paragraph" w:customStyle="1" w:styleId="43">
    <w:name w:val="Revision"/>
    <w:hidden/>
    <w:unhideWhenUsed/>
    <w:uiPriority w:val="99"/>
    <w:rPr>
      <w:rFonts w:ascii="Times New Roman" w:hAnsi="Times New Roman" w:eastAsia="宋体" w:cstheme="minorBidi"/>
      <w:kern w:val="2"/>
      <w:sz w:val="28"/>
      <w:szCs w:val="24"/>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916</Words>
  <Characters>5224</Characters>
  <Lines>43</Lines>
  <Paragraphs>12</Paragraphs>
  <TotalTime>150</TotalTime>
  <ScaleCrop>false</ScaleCrop>
  <LinksUpToDate>false</LinksUpToDate>
  <CharactersWithSpaces>6128</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2026-09-07T21:15:00Z</dcterms:created>
  <dc:creator>be Hu</dc:creator>
  <cp:lastModifiedBy>上善若水</cp:lastModifiedBy>
  <dcterms:modified xsi:type="dcterms:W3CDTF">2026-09-09T14:33:05Z</dcterms:modified>
  <cp:revision>199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eyJoZGlkIjoiYTM2NjBiN2UxMmFlNWUyNzkwN2QzNmU2ZmZhNzI0NTUiLCJ1c2VySWQiOiI0NTEyODk0MDYifQ==</vt:lpwstr>
  </property>
  <property fmtid="{D5CDD505-2E9C-101B-9397-08002B2CF9AE}" pid="3" name="KSOProductBuildVer">
    <vt:lpwstr>2052-12.1.25869.25869</vt:lpwstr>
  </property>
  <property fmtid="{D5CDD505-2E9C-101B-9397-08002B2CF9AE}" pid="4" name="ICV">
    <vt:lpwstr>680393ADDDF94E23B21ACCA092385C01_12</vt:lpwstr>
  </property>
</Properties>
</file>