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3C3F1">
      <w:pPr>
        <w:rPr>
          <w:rFonts w:hint="eastAsia"/>
        </w:rPr>
      </w:pPr>
      <w:r>
        <w:rPr>
          <w:rFonts w:hint="eastAsia"/>
        </w:rPr>
        <w:t>第一页：1S 智享 —— 盘活存量 · 按需共享</w:t>
      </w:r>
    </w:p>
    <w:p w14:paraId="315C4DB1">
      <w:pPr>
        <w:rPr>
          <w:rFonts w:hint="eastAsia"/>
        </w:rPr>
      </w:pPr>
      <w:r>
        <w:rPr>
          <w:rFonts w:hint="eastAsia"/>
        </w:rPr>
        <w:t>秭归县实践：</w:t>
      </w:r>
    </w:p>
    <w:p w14:paraId="094C4AB1">
      <w:pPr>
        <w:rPr>
          <w:rFonts w:hint="eastAsia"/>
        </w:rPr>
      </w:pPr>
      <w:r>
        <w:rPr>
          <w:rFonts w:hint="eastAsia"/>
        </w:rPr>
        <w:t>2025年烘烤季，秭归县通过“智享”平台完成烤房调剂预约86次。传统模式下，烟农跨村调剂靠电话逐户询问、口头协调，一笔调配耗时3-6小时；</w:t>
      </w:r>
    </w:p>
    <w:p w14:paraId="403AF83F">
      <w:pPr>
        <w:rPr>
          <w:rFonts w:hint="eastAsia"/>
        </w:rPr>
      </w:pPr>
      <w:r>
        <w:rPr>
          <w:rFonts w:hint="eastAsia"/>
        </w:rPr>
        <w:t>现在通过小程序一键发起预约，系统基于曼哈顿距离算法+多目标约束优化秒级匹配，平均响应时间≤5分钟。</w:t>
      </w:r>
    </w:p>
    <w:p w14:paraId="1A3DC66E">
      <w:pPr>
        <w:rPr>
          <w:rFonts w:hint="eastAsia"/>
        </w:rPr>
      </w:pPr>
      <w:r>
        <w:rPr>
          <w:rFonts w:hint="eastAsia"/>
        </w:rPr>
        <w:t>烘烤高峰期，平台累计成功调剂烤房847座次，匹配成功率≥98% ，其中紧急调剂（如雨后抢收、集中成熟等场景）237次，平均匹配时间仅3.2分钟。</w:t>
      </w:r>
    </w:p>
    <w:p w14:paraId="265CE805">
      <w:pPr>
        <w:rPr>
          <w:rFonts w:hint="eastAsia"/>
        </w:rPr>
      </w:pPr>
      <w:r>
        <w:rPr>
          <w:rFonts w:hint="eastAsia"/>
        </w:rPr>
        <w:t>以两河口镇为例，全镇200栋烤烟房全部接入平台，烘烤季期间通过平台完成跨村调剂168次，烤房利用率从往年的不足60%提升至92% ，烟农平均等烤时间从4-6小时缩短至20分钟以内。全县烤房年闲置率从约80%降至40%以下，有效避免了“一边烤房闲置、一边烟农排队”的资源错配问题。烟农满意度从不足60%提升至92% ，累计挽回因排队等候导致的烟叶采烤延误损失约80万元。</w:t>
      </w:r>
    </w:p>
    <w:p w14:paraId="42870F0C">
      <w:pPr>
        <w:rPr>
          <w:rFonts w:hint="eastAsia"/>
        </w:rPr>
      </w:pPr>
    </w:p>
    <w:p w14:paraId="7A77FF8A">
      <w:pPr>
        <w:rPr>
          <w:rFonts w:hint="eastAsia"/>
        </w:rPr>
      </w:pPr>
      <w:r>
        <w:rPr>
          <w:rFonts w:hint="eastAsia"/>
        </w:rPr>
        <w:t>第二页：2S 智管 —— 常态运维 · 主动服务</w:t>
      </w:r>
    </w:p>
    <w:p w14:paraId="098015EC">
      <w:pPr>
        <w:rPr>
          <w:rFonts w:hint="eastAsia"/>
        </w:rPr>
      </w:pPr>
      <w:r>
        <w:rPr>
          <w:rFonts w:hint="eastAsia"/>
        </w:rPr>
        <w:t>秭归县实践：</w:t>
      </w:r>
    </w:p>
    <w:p w14:paraId="4F8727F4">
      <w:pPr>
        <w:rPr>
          <w:rFonts w:hint="eastAsia"/>
        </w:rPr>
      </w:pPr>
      <w:r>
        <w:rPr>
          <w:rFonts w:hint="eastAsia"/>
        </w:rPr>
        <w:t>2025年烘烤季，秭归县通过“智管”平台完成主动报修工单467次、常规巡检1,832座烤房（覆盖全县2,442座烤房的75%），累计匹配维修备件593件（含风机、自控仪、燃烧机、电机等关键部件）。传统模式下，维修响应时间平均4-6小时，且常出现“师傅到了没配件、回去取再跑一趟”的情况；</w:t>
      </w:r>
    </w:p>
    <w:p w14:paraId="4640988A">
      <w:pPr>
        <w:rPr>
          <w:rFonts w:hint="eastAsia"/>
        </w:rPr>
      </w:pPr>
      <w:r>
        <w:rPr>
          <w:rFonts w:hint="eastAsia"/>
        </w:rPr>
        <w:t>现在通过系统秒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匹配最近维修员+最近备件库，维修响应时间缩短至平均1.8小时，最快45分钟，维修及时率从约60%提升至95% 。以两河口镇香龙村为例，烘烤季期间因暴雨导致3座烤房电路故障，烟农通过小程序一键报修后，系统自动匹配距离</w:t>
      </w:r>
      <w:r>
        <w:rPr>
          <w:rFonts w:hint="eastAsia"/>
          <w:lang w:val="en-US" w:eastAsia="zh-CN"/>
        </w:rPr>
        <w:t>最近的</w:t>
      </w:r>
      <w:r>
        <w:rPr>
          <w:rFonts w:hint="eastAsia"/>
        </w:rPr>
        <w:t>的维修员和合作社仓储点备件，从报修到修复完成仅用52分钟。健康评分模型上线后，完成全县2,442座烤房的健康档案建档，健康分准确率≥95% ，寿命预测误差&lt;15% ，提前6个月以上预警需重点维护烤房326座。巡检效率从1人/天8-10座提升至50座以上，累计挽回因设备故障导致的烟叶烘烤损失约120万元。</w:t>
      </w:r>
    </w:p>
    <w:p w14:paraId="5A2773BB">
      <w:pPr>
        <w:rPr>
          <w:rFonts w:hint="eastAsia"/>
        </w:rPr>
      </w:pPr>
    </w:p>
    <w:p w14:paraId="31D006F2">
      <w:pPr>
        <w:rPr>
          <w:rFonts w:hint="eastAsia"/>
        </w:rPr>
      </w:pPr>
      <w:r>
        <w:rPr>
          <w:rFonts w:hint="eastAsia"/>
        </w:rPr>
        <w:t>第三页：3S 智投 —— 辅助决策 · 闭环优化</w:t>
      </w:r>
    </w:p>
    <w:p w14:paraId="68712B6E">
      <w:pPr>
        <w:rPr>
          <w:rFonts w:hint="eastAsia"/>
        </w:rPr>
      </w:pPr>
      <w:r>
        <w:rPr>
          <w:rFonts w:hint="eastAsia"/>
        </w:rPr>
        <w:t>秭归县实践：</w:t>
      </w:r>
    </w:p>
    <w:p w14:paraId="33ECCFB4">
      <w:pPr>
        <w:rPr>
          <w:rFonts w:hint="eastAsia"/>
        </w:rPr>
      </w:pPr>
      <w:r>
        <w:rPr>
          <w:rFonts w:hint="eastAsia"/>
        </w:rPr>
        <w:t>2025年，秭归县通过“智投”平台完成全县7个乡镇、2,442座烤房的健康分布与负载度分析。系统基于健康评分模型+寿命预测+烤房负载度算法，输出维修建议方案和新建建议方案。维修方面：系统识别健康分&lt;60分的烤房178座（占比7.3%），其中建议整体更换68座（健康分&lt;40分）、重点维修110座（健康分40-60分），预估维修资金约320万元（按平均1.8万元/座估算）。新建方面：系统通过K-means聚类+整数规划，按5的倍数集中投放原则，建议在郭家坝镇荒口坪村新建20座、九畹溪镇金凤村新建20座、两河口镇新建15座等，全县建议新建烤房85座（集中在6个村、分14处建设），预估新建资金约382.5万元（按新能源烤房4.5万元/座估算）。决策周期从传统人工调研的7-15天缩短至系统自动数秒输出，选址合理率≥92% 。以郭家坝镇为例，系统分析该镇荒口坪村360亩烟叶产能与现有烤房匹配度仅68% ，建议新建20座，目前已进入施工阶段。全县2025年烤房新建项目总投资约1,000万元，较往年分散式投放节省建设成本约15% ，集中新建后预计可服务烟田2,500亩以上，惠及烟农500余户。</w:t>
      </w:r>
    </w:p>
    <w:p w14:paraId="7268B069">
      <w:pPr>
        <w:rPr>
          <w:rFonts w:hint="eastAsia"/>
        </w:rPr>
      </w:pPr>
    </w:p>
    <w:p w14:paraId="5A8240E6">
      <w:pPr>
        <w:rPr>
          <w:rFonts w:hint="eastAsia"/>
        </w:rPr>
      </w:pPr>
    </w:p>
    <w:p w14:paraId="3E4F2D4A">
      <w:pPr>
        <w:rPr>
          <w:rFonts w:hint="eastAsia"/>
        </w:rPr>
      </w:pPr>
    </w:p>
    <w:p w14:paraId="61FF5A5B">
      <w:pPr>
        <w:rPr>
          <w:rFonts w:hint="eastAsia"/>
        </w:rPr>
      </w:pPr>
    </w:p>
    <w:p w14:paraId="0BA93129">
      <w:pPr>
        <w:rPr>
          <w:rFonts w:hint="eastAsia"/>
        </w:rPr>
      </w:pPr>
    </w:p>
    <w:p w14:paraId="2AD93F92">
      <w:pPr>
        <w:rPr>
          <w:rFonts w:hint="eastAsia"/>
        </w:rPr>
      </w:pPr>
      <w:r>
        <w:rPr>
          <w:rFonts w:hint="eastAsia"/>
        </w:rPr>
        <w:t>1.这个地图上面的图例，挡住我了，我什么也看不到，新建适宜等级</w:t>
      </w:r>
    </w:p>
    <w:p w14:paraId="68B3B81E">
      <w:pPr>
        <w:rPr>
          <w:rFonts w:hint="eastAsia"/>
        </w:rPr>
      </w:pPr>
      <w:r>
        <w:rPr>
          <w:rFonts w:hint="eastAsia"/>
        </w:rPr>
        <w:t>高度适宜</w:t>
      </w:r>
    </w:p>
    <w:p w14:paraId="0F352DEA">
      <w:pPr>
        <w:rPr>
          <w:rFonts w:hint="eastAsia"/>
        </w:rPr>
      </w:pPr>
      <w:r>
        <w:rPr>
          <w:rFonts w:hint="eastAsia"/>
        </w:rPr>
        <w:t>适宜</w:t>
      </w:r>
    </w:p>
    <w:p w14:paraId="072F1EE2">
      <w:pPr>
        <w:rPr>
          <w:rFonts w:hint="eastAsia"/>
        </w:rPr>
      </w:pPr>
      <w:r>
        <w:rPr>
          <w:rFonts w:hint="eastAsia"/>
        </w:rPr>
        <w:t>一般</w:t>
      </w:r>
    </w:p>
    <w:p w14:paraId="6D171A0A">
      <w:pPr>
        <w:rPr>
          <w:rFonts w:hint="eastAsia"/>
        </w:rPr>
      </w:pPr>
      <w:r>
        <w:rPr>
          <w:rFonts w:hint="eastAsia"/>
        </w:rPr>
        <w:t>不适宜</w:t>
      </w:r>
    </w:p>
    <w:p w14:paraId="4ED324FA">
      <w:pPr>
        <w:rPr>
          <w:rFonts w:hint="eastAsia"/>
        </w:rPr>
      </w:pPr>
      <w:r>
        <w:rPr>
          <w:rFonts w:hint="eastAsia"/>
        </w:rPr>
        <w:t>待评估</w:t>
      </w:r>
    </w:p>
    <w:p w14:paraId="4CF7EDB2">
      <w:pPr>
        <w:rPr>
          <w:rFonts w:hint="eastAsia"/>
        </w:rPr>
      </w:pPr>
      <w:r>
        <w:rPr>
          <w:rFonts w:hint="eastAsia"/>
        </w:rPr>
        <w:t>村负载等级</w:t>
      </w:r>
    </w:p>
    <w:p w14:paraId="16F65DDD">
      <w:pPr>
        <w:rPr>
          <w:rFonts w:hint="eastAsia"/>
        </w:rPr>
      </w:pPr>
      <w:r>
        <w:rPr>
          <w:rFonts w:hint="eastAsia"/>
        </w:rPr>
        <w:t>严重超负荷</w:t>
      </w:r>
    </w:p>
    <w:p w14:paraId="294E2684">
      <w:pPr>
        <w:rPr>
          <w:rFonts w:hint="eastAsia"/>
        </w:rPr>
      </w:pPr>
      <w:r>
        <w:rPr>
          <w:rFonts w:hint="eastAsia"/>
        </w:rPr>
        <w:t>超负荷</w:t>
      </w:r>
    </w:p>
    <w:p w14:paraId="34B4F9C2">
      <w:pPr>
        <w:rPr>
          <w:rFonts w:hint="eastAsia"/>
        </w:rPr>
      </w:pPr>
      <w:r>
        <w:rPr>
          <w:rFonts w:hint="eastAsia"/>
        </w:rPr>
        <w:t>饱和</w:t>
      </w:r>
    </w:p>
    <w:p w14:paraId="7A8DE39F">
      <w:pPr>
        <w:rPr>
          <w:rFonts w:hint="eastAsia"/>
        </w:rPr>
      </w:pPr>
      <w:r>
        <w:rPr>
          <w:rFonts w:hint="eastAsia"/>
        </w:rPr>
        <w:t>正常</w:t>
      </w:r>
    </w:p>
    <w:p w14:paraId="77A098E1">
      <w:pPr>
        <w:rPr>
          <w:rFonts w:hint="eastAsia"/>
        </w:rPr>
      </w:pPr>
      <w:r>
        <w:rPr>
          <w:rFonts w:hint="eastAsia"/>
        </w:rPr>
        <w:t>富余</w:t>
      </w:r>
    </w:p>
    <w:p w14:paraId="1B80BAE6">
      <w:pPr>
        <w:rPr>
          <w:rFonts w:hint="eastAsia"/>
        </w:rPr>
      </w:pPr>
      <w:r>
        <w:rPr>
          <w:rFonts w:hint="eastAsia"/>
        </w:rPr>
        <w:t>严重缺烤房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FFF3D1C"/>
    <w:rsid w:val="6DF3C4FB"/>
    <w:rsid w:val="7B573316"/>
    <w:rsid w:val="7DF14DEA"/>
    <w:rsid w:val="7F9B987E"/>
    <w:rsid w:val="7FFF2C39"/>
    <w:rsid w:val="7FFFF4BC"/>
    <w:rsid w:val="FFCC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上善若水</cp:lastModifiedBy>
  <dcterms:modified xsi:type="dcterms:W3CDTF">2026-08-24T08:43:50Z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