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8B308">
      <w:pPr>
        <w:spacing w:after="200"/>
        <w:jc w:val="center"/>
        <w:rPr>
          <w:rFonts w:hint="eastAsia" w:ascii="仿宋_GB2312" w:eastAsia="仿宋_GB2312"/>
          <w:b/>
          <w:bCs/>
          <w:sz w:val="36"/>
          <w:szCs w:val="36"/>
        </w:rPr>
      </w:pPr>
      <w:r>
        <w:rPr>
          <w:rFonts w:hint="eastAsia" w:ascii="仿宋_GB2312" w:eastAsia="仿宋_GB2312"/>
          <w:b/>
          <w:bCs/>
          <w:sz w:val="36"/>
          <w:szCs w:val="36"/>
        </w:rPr>
        <w:t>智烤管家-基于健康评估的烤房</w:t>
      </w:r>
      <w:bookmarkStart w:id="0" w:name="_Hlk240915134"/>
      <w:r>
        <w:rPr>
          <w:rFonts w:hint="eastAsia" w:ascii="仿宋_GB2312" w:eastAsia="仿宋_GB2312"/>
          <w:b/>
          <w:bCs/>
          <w:sz w:val="36"/>
          <w:szCs w:val="36"/>
        </w:rPr>
        <w:t>用投管</w:t>
      </w:r>
      <w:bookmarkEnd w:id="0"/>
    </w:p>
    <w:p w14:paraId="7A332A1C">
      <w:pPr>
        <w:spacing w:after="200"/>
        <w:jc w:val="center"/>
        <w:rPr>
          <w:rFonts w:hint="eastAsia" w:ascii="仿宋_GB2312" w:eastAsia="仿宋_GB2312"/>
          <w:b/>
          <w:bCs/>
          <w:sz w:val="36"/>
          <w:szCs w:val="36"/>
        </w:rPr>
      </w:pPr>
      <w:bookmarkStart w:id="1" w:name="_GoBack"/>
      <w:bookmarkEnd w:id="1"/>
      <w:r>
        <w:rPr>
          <w:rFonts w:hint="eastAsia" w:ascii="仿宋_GB2312" w:eastAsia="仿宋_GB2312"/>
          <w:b/>
          <w:bCs/>
          <w:sz w:val="36"/>
          <w:szCs w:val="36"/>
        </w:rPr>
        <w:t>一体化解决方案</w:t>
      </w:r>
      <w:r>
        <w:rPr>
          <w:rFonts w:hint="eastAsia" w:ascii="仿宋_GB2312" w:eastAsia="仿宋_GB2312"/>
          <w:b/>
          <w:bCs/>
          <w:color w:val="888888"/>
          <w:sz w:val="36"/>
          <w:szCs w:val="36"/>
        </w:rPr>
        <w:t xml:space="preserve"> </w:t>
      </w:r>
    </w:p>
    <w:p w14:paraId="4554145B">
      <w:pPr>
        <w:spacing w:before="80" w:after="80" w:line="360" w:lineRule="auto"/>
        <w:ind w:firstLine="480"/>
        <w:rPr>
          <w:rFonts w:ascii="仿宋_GB2312" w:eastAsia="仿宋_GB2312"/>
          <w:sz w:val="30"/>
          <w:szCs w:val="30"/>
        </w:rPr>
      </w:pPr>
    </w:p>
    <w:p w14:paraId="09BB323B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各位评委、各位老师，大家好！我们是宜昌市局智同道合创客小组。</w:t>
      </w:r>
    </w:p>
    <w:p w14:paraId="6D82C5C4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今天，我们带着扎根烟区一线的实践思考，为大家带来创客项目——智烤管家：基于健康评估的烤房用、投、管一体化解决方案。</w:t>
      </w:r>
    </w:p>
    <w:p w14:paraId="4CE9E338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烤房，是烟叶提质增香的“匠心工坊”，更是烟农稳收增收的基石。但长期以来，这座田间“金工坊”在管理和使用上始终面临三大痛点：</w:t>
      </w:r>
    </w:p>
    <w:p w14:paraId="43BEAE4A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一是“分不到”——烤房分配全靠人工，烟农无法自主选择信得过的烤房，突发烘烤需求难以及时调配；</w:t>
      </w:r>
    </w:p>
    <w:p w14:paraId="053129A6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二是“修不及”——设施设备故障报修逐级上报，响应慢、效率低，维修人员和备件调配靠人工调度；</w:t>
      </w:r>
    </w:p>
    <w:p w14:paraId="4A1773D6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三是“投不准”——烤房新建和维护投入缺少数据支撑，供需脱节长期存在，资金利用效率大打折扣。</w:t>
      </w:r>
    </w:p>
    <w:p w14:paraId="00C3AADE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这些痛点直接拉低烘烤效率和品质，影响烟农收成和烟叶原料供给。</w:t>
      </w:r>
    </w:p>
    <w:p w14:paraId="322A2A20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立足烟农刚需、扎根基层实际，我们打造出“一库一平台，双模三应用”一体化解决方案，实现烤房向“智用、智投、智管”全方位升级。</w:t>
      </w:r>
    </w:p>
    <w:p w14:paraId="169EE72B">
      <w:pPr>
        <w:pBdr>
          <w:bottom w:val="single" w:color="2E7D32" w:sz="8" w:space="4"/>
        </w:pBdr>
        <w:spacing w:before="360" w:after="16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b/>
          <w:bCs/>
          <w:color w:val="2E7D32"/>
          <w:sz w:val="30"/>
          <w:szCs w:val="30"/>
        </w:rPr>
        <w:t>【一库筑基</w:t>
      </w:r>
      <w:r>
        <w:rPr>
          <w:rFonts w:hint="eastAsia" w:ascii="MS Gothic" w:hAnsi="MS Gothic" w:eastAsia="MS Gothic" w:cs="MS Gothic"/>
          <w:b/>
          <w:bCs/>
          <w:color w:val="2E7D32"/>
          <w:sz w:val="30"/>
          <w:szCs w:val="30"/>
        </w:rPr>
        <w:t>‑</w:t>
      </w:r>
      <w:r>
        <w:rPr>
          <w:rFonts w:hint="eastAsia" w:ascii="仿宋_GB2312" w:hAnsi="仿宋_GB2312" w:eastAsia="仿宋_GB2312" w:cs="仿宋_GB2312"/>
          <w:b/>
          <w:bCs/>
          <w:color w:val="2E7D32"/>
          <w:sz w:val="30"/>
          <w:szCs w:val="30"/>
        </w:rPr>
        <w:t>以精准数据摸清产业家底】</w:t>
      </w:r>
    </w:p>
    <w:p w14:paraId="6917126B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我们将烤房状态分为在用、闲置、损坏待修三类，烤房设备划分为加热、散热、自控、附属四大模块，锁定18个核心部件，建立“正常、损坏、缺失”三级评定标准。通过现场拍照留痕、线上录入归档，实现每栋烤房、每个零部件可溯源、可核查。2026年，我们在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秭归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完成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2442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栋烤房数据录入和设施、设备评定，彻底终结了烤房底数不清、状态不明的历史。</w:t>
      </w:r>
    </w:p>
    <w:p w14:paraId="352A7CBF">
      <w:pPr>
        <w:pBdr>
          <w:bottom w:val="single" w:color="2E7D32" w:sz="8" w:space="4"/>
        </w:pBdr>
        <w:spacing w:before="360" w:after="16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b/>
          <w:bCs/>
          <w:color w:val="2E7D32"/>
          <w:sz w:val="30"/>
          <w:szCs w:val="30"/>
        </w:rPr>
        <w:t>【平台联动</w:t>
      </w:r>
      <w:r>
        <w:rPr>
          <w:rFonts w:hint="eastAsia" w:ascii="MS Gothic" w:hAnsi="MS Gothic" w:eastAsia="MS Gothic" w:cs="MS Gothic"/>
          <w:b/>
          <w:bCs/>
          <w:color w:val="2E7D32"/>
          <w:sz w:val="30"/>
          <w:szCs w:val="30"/>
        </w:rPr>
        <w:t>‑</w:t>
      </w:r>
      <w:r>
        <w:rPr>
          <w:rFonts w:hint="eastAsia" w:ascii="仿宋_GB2312" w:hAnsi="仿宋_GB2312" w:eastAsia="仿宋_GB2312" w:cs="仿宋_GB2312"/>
          <w:b/>
          <w:bCs/>
          <w:color w:val="2E7D32"/>
          <w:sz w:val="30"/>
          <w:szCs w:val="30"/>
        </w:rPr>
        <w:t>以全域协同搭建管护体系】</w:t>
      </w:r>
    </w:p>
    <w:p w14:paraId="3A00781D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我们搭建合作社烤房管家协同平台，打通烟农、合作社、管护人员、管理部门全服务链路，实现“用、修、管、养”全流程线上化、标准化管理。</w:t>
      </w:r>
    </w:p>
    <w:p w14:paraId="3F0CCA60">
      <w:pPr>
        <w:pBdr>
          <w:bottom w:val="single" w:color="2E7D32" w:sz="8" w:space="4"/>
        </w:pBdr>
        <w:spacing w:before="360" w:after="16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b/>
          <w:bCs/>
          <w:color w:val="2E7D32"/>
          <w:sz w:val="30"/>
          <w:szCs w:val="30"/>
        </w:rPr>
        <w:t>【双模赋能</w:t>
      </w:r>
      <w:r>
        <w:rPr>
          <w:rFonts w:hint="eastAsia" w:ascii="MS Gothic" w:hAnsi="MS Gothic" w:eastAsia="MS Gothic" w:cs="MS Gothic"/>
          <w:b/>
          <w:bCs/>
          <w:color w:val="2E7D32"/>
          <w:sz w:val="30"/>
          <w:szCs w:val="30"/>
        </w:rPr>
        <w:t>‑</w:t>
      </w:r>
      <w:r>
        <w:rPr>
          <w:rFonts w:hint="eastAsia" w:ascii="仿宋_GB2312" w:hAnsi="仿宋_GB2312" w:eastAsia="仿宋_GB2312" w:cs="仿宋_GB2312"/>
          <w:b/>
          <w:bCs/>
          <w:color w:val="2E7D32"/>
          <w:sz w:val="30"/>
          <w:szCs w:val="30"/>
        </w:rPr>
        <w:t>以智能算法破解决策难题】</w:t>
      </w:r>
    </w:p>
    <w:p w14:paraId="68BC968B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第一个是烤房健康评估模型。我们综合建设年限、累计使用时长、养护记录、设备实时状态等多重因子，为每栋烤房生成专属健康评分。同时结合历年维修数据，智能预判高风险故障部位，精准锁定维保重点，让烤房运维从“盲目排查、被动抢修”转变为“精准预判、靶向维保”。</w:t>
      </w:r>
    </w:p>
    <w:p w14:paraId="25E85240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第二个是村级发展指数模型。我们以千亩种植村为评价单元，整合烤房整体健康水平、烘烤承载能力、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  <w:t>村级集体经济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  <w:t>烤房管护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覆盖、产业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  <w:t>政策争取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、质量潜力及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种植规模趋势等多维指标，量化生成村级烘烤发展指数。以此为“数据沙盘”，精准指导烤房新建与升级改造，破解盲目布局、供需脱节的难题。</w:t>
      </w:r>
    </w:p>
    <w:p w14:paraId="5CA82F79">
      <w:pPr>
        <w:pBdr>
          <w:bottom w:val="single" w:color="2E7D32" w:sz="8" w:space="4"/>
        </w:pBdr>
        <w:spacing w:before="360" w:after="16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b/>
          <w:bCs/>
          <w:color w:val="2E7D32"/>
          <w:sz w:val="30"/>
          <w:szCs w:val="30"/>
        </w:rPr>
        <w:t>【智用解忧</w:t>
      </w:r>
      <w:r>
        <w:rPr>
          <w:rFonts w:hint="eastAsia" w:ascii="MS Gothic" w:hAnsi="MS Gothic" w:eastAsia="MS Gothic" w:cs="MS Gothic"/>
          <w:b/>
          <w:bCs/>
          <w:color w:val="2E7D32"/>
          <w:sz w:val="30"/>
          <w:szCs w:val="30"/>
        </w:rPr>
        <w:t>‑</w:t>
      </w:r>
      <w:r>
        <w:rPr>
          <w:rFonts w:hint="eastAsia" w:ascii="仿宋_GB2312" w:hAnsi="仿宋_GB2312" w:eastAsia="仿宋_GB2312" w:cs="仿宋_GB2312"/>
          <w:b/>
          <w:bCs/>
          <w:color w:val="2E7D32"/>
          <w:sz w:val="30"/>
          <w:szCs w:val="30"/>
          <w:lang w:val="en-US" w:eastAsia="zh-CN"/>
        </w:rPr>
        <w:t>匹配</w:t>
      </w:r>
      <w:r>
        <w:rPr>
          <w:rFonts w:hint="eastAsia" w:ascii="仿宋_GB2312" w:hAnsi="仿宋_GB2312" w:eastAsia="仿宋_GB2312" w:cs="仿宋_GB2312"/>
          <w:b/>
          <w:bCs/>
          <w:color w:val="2E7D32"/>
          <w:sz w:val="30"/>
          <w:szCs w:val="30"/>
        </w:rPr>
        <w:t>共享·在线预约·双向评价】</w:t>
      </w:r>
    </w:p>
    <w:p w14:paraId="3B322713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基于这套体系，我们落地三大应用。第一是智用解忧——这也是烟农感受最深、受益最直接的功能。</w:t>
      </w:r>
    </w:p>
    <w:p w14:paraId="21D7DBB1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一是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匹配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共享。烟农可以在平台上像“共享单车”一样浏览可用烤房，按位置远近、评分高低、空闲时段自主选择，不再受限于人工分配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或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固定烤房。将每一座烤房的空闲时段共享使用，释放归集零散烤能，以数据驱动烤房利用率提升。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而烤房紧急抢修时的备件智能匹配更是有效减少山区配送时间，厂家型号、配件库存、交通规划等精准匹配，将抢修风险控制在最小。</w:t>
      </w:r>
    </w:p>
    <w:p w14:paraId="463BEA15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二是在线预约。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烟农线上选定烤房后，系统自动锁定烘烤时段、生成预约凭证，到炕前自动提醒，烘烤结束后自动释放资源。预约机制彻底消除了排队冲突和资源空置，让烤房像酒店房间一样有序流转。而烤房抢修时的一键报修联络，依托健康评分的部位风险排序实现高效的诊断排查，彻底解决找不到人的困挠，报修反馈时间、误排误诊机率大大减少。</w:t>
      </w:r>
    </w:p>
    <w:p w14:paraId="08706749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三是双维评价。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我们建立了烟农对烤房和服务的双维度评价体系。一方面，烟农可以对烤房设施设备打分——温控精度够不够、密封性好不好、加热均不均匀，出为设备维护修正靶向；另一方面，可以对专业化的管家服务打分，烘烤师傅、抢修师傅、养护人员、管理人员的技术水平、服务态度打分，结合烟农满意度进行评分实时排名，倒逼合作社管家团队提升服务质量。</w:t>
      </w:r>
    </w:p>
    <w:p w14:paraId="5B370ACC">
      <w:pPr>
        <w:pBdr>
          <w:bottom w:val="single" w:color="2E7D32" w:sz="8" w:space="4"/>
        </w:pBdr>
        <w:spacing w:before="360" w:after="16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b/>
          <w:bCs/>
          <w:color w:val="2E7D32"/>
          <w:sz w:val="30"/>
          <w:szCs w:val="30"/>
        </w:rPr>
        <w:t>【智投增效</w:t>
      </w:r>
      <w:r>
        <w:rPr>
          <w:rFonts w:hint="eastAsia" w:ascii="MS Gothic" w:hAnsi="MS Gothic" w:eastAsia="MS Gothic" w:cs="MS Gothic"/>
          <w:b/>
          <w:bCs/>
          <w:color w:val="2E7D32"/>
          <w:sz w:val="30"/>
          <w:szCs w:val="30"/>
        </w:rPr>
        <w:t>‑</w:t>
      </w:r>
      <w:r>
        <w:rPr>
          <w:rFonts w:hint="eastAsia" w:ascii="仿宋_GB2312" w:hAnsi="仿宋_GB2312" w:eastAsia="仿宋_GB2312" w:cs="仿宋_GB2312"/>
          <w:b/>
          <w:bCs/>
          <w:color w:val="2E7D32"/>
          <w:sz w:val="30"/>
          <w:szCs w:val="30"/>
        </w:rPr>
        <w:t>重塑行业精准投入模式】</w:t>
      </w:r>
    </w:p>
    <w:p w14:paraId="69A6258C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依托村级发展指数模型，我们围绕千亩村规划烤房新建项目，用数据沙盘直观呈现布局方案，让投入贴合发展刚需。同时，根据健康评分精准筛选低效设备，制定年度修复清单，为批量修复决策提供参考。2026年，我们精准完成150栋烤房核心设备升级，告别“靠关系申报、凭经验维修”的乱象，让投入贴合生产实际。</w:t>
      </w:r>
    </w:p>
    <w:p w14:paraId="25FB6C37">
      <w:pPr>
        <w:pBdr>
          <w:bottom w:val="single" w:color="2E7D32" w:sz="8" w:space="4"/>
        </w:pBdr>
        <w:spacing w:before="360" w:after="16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b/>
          <w:bCs/>
          <w:color w:val="2E7D32"/>
          <w:sz w:val="30"/>
          <w:szCs w:val="30"/>
        </w:rPr>
        <w:t>【智管赋能</w:t>
      </w:r>
      <w:r>
        <w:rPr>
          <w:rFonts w:hint="eastAsia" w:ascii="MS Gothic" w:hAnsi="MS Gothic" w:eastAsia="MS Gothic" w:cs="MS Gothic"/>
          <w:b/>
          <w:bCs/>
          <w:color w:val="2E7D32"/>
          <w:sz w:val="30"/>
          <w:szCs w:val="30"/>
        </w:rPr>
        <w:t>‑</w:t>
      </w:r>
      <w:r>
        <w:rPr>
          <w:rFonts w:hint="eastAsia" w:ascii="仿宋_GB2312" w:hAnsi="仿宋_GB2312" w:eastAsia="仿宋_GB2312" w:cs="仿宋_GB2312"/>
          <w:b/>
          <w:bCs/>
          <w:color w:val="2E7D32"/>
          <w:sz w:val="30"/>
          <w:szCs w:val="30"/>
        </w:rPr>
        <w:t>构建“用修管养”长效机制】</w:t>
      </w:r>
    </w:p>
    <w:p w14:paraId="3973333A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我们指导合作社组建技术、抢修、养护、综合四支专业化管家队伍，分工明确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覆盖“用修管养”各环节，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闭环履职。同时创新落地“三共一公、共管有偿”运维机制——即共建、共管、共享，产权公有、专业管护、有偿服务，联动政府、村集体、烟农多元主体共投共建。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2026年秭归县烤房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运维基金滚动累计近190万元，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维修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配件支出同比下降2.2万元，预计年底结余100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多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万元用于“十五五”烤房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设施的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迭代升级。</w:t>
      </w:r>
    </w:p>
    <w:p w14:paraId="13810938">
      <w:pPr>
        <w:pBdr>
          <w:bottom w:val="single" w:color="2E7D32" w:sz="8" w:space="4"/>
        </w:pBdr>
        <w:spacing w:before="360" w:after="16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b/>
          <w:bCs/>
          <w:color w:val="2E7D32"/>
          <w:sz w:val="30"/>
          <w:szCs w:val="30"/>
        </w:rPr>
        <w:t>【总结展望】</w:t>
      </w:r>
    </w:p>
    <w:p w14:paraId="584B7851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整体来看，我们的项目核心亮点鲜明：以数据清底数、以平台管全程、以模型做决策、以机制保长效，真正把烤房管理从“经验挣扎”变成“数据驱动”，从“被动补救”变成“主动预判”。</w:t>
      </w:r>
    </w:p>
    <w:p w14:paraId="6253A67F">
      <w:pPr>
        <w:autoSpaceDE w:val="0"/>
        <w:autoSpaceDN w:val="0"/>
        <w:adjustRightInd w:val="0"/>
        <w:spacing w:line="54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下一步，我们将持续迭代优化平台功能，在本年度烘烤结束后，逐步纵向向兴山、五峰等全市核心烟区推广，横向向育苗棚等其他基础设施扩展，打造可落地、可推广的烟区基础设施“管家”新范式，为烟叶产业高质量发展注入数字动能！</w:t>
      </w:r>
    </w:p>
    <w:p w14:paraId="3E2745A1">
      <w:pPr>
        <w:spacing w:before="4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b/>
          <w:bCs/>
          <w:sz w:val="30"/>
          <w:szCs w:val="30"/>
        </w:rPr>
        <w:t>我的汇报完毕，谢谢大家！</w:t>
      </w:r>
    </w:p>
    <w:p w14:paraId="03A7161F">
      <w:pPr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br w:type="page"/>
      </w:r>
    </w:p>
    <w:p w14:paraId="3C085491">
      <w:pPr>
        <w:pBdr>
          <w:bottom w:val="single" w:color="2E7D32" w:sz="8" w:space="4"/>
        </w:pBdr>
        <w:spacing w:before="360" w:after="16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b/>
          <w:bCs/>
          <w:color w:val="2E7D32"/>
          <w:sz w:val="30"/>
          <w:szCs w:val="30"/>
        </w:rPr>
        <w:t>【定稿说明</w:t>
      </w:r>
      <w:r>
        <w:rPr>
          <w:rFonts w:hint="eastAsia" w:ascii="MS Gothic" w:hAnsi="MS Gothic" w:eastAsia="MS Gothic" w:cs="MS Gothic"/>
          <w:b/>
          <w:bCs/>
          <w:color w:val="2E7D32"/>
          <w:sz w:val="30"/>
          <w:szCs w:val="30"/>
        </w:rPr>
        <w:t>‑</w:t>
      </w:r>
      <w:r>
        <w:rPr>
          <w:rFonts w:hint="eastAsia" w:ascii="仿宋_GB2312" w:hAnsi="仿宋_GB2312" w:eastAsia="仿宋_GB2312" w:cs="仿宋_GB2312"/>
          <w:b/>
          <w:bCs/>
          <w:color w:val="2E7D32"/>
          <w:sz w:val="30"/>
          <w:szCs w:val="30"/>
        </w:rPr>
        <w:t>请演讲者确认以下事项】</w:t>
      </w:r>
    </w:p>
    <w:p w14:paraId="26A10616">
      <w:pPr>
        <w:spacing w:before="60" w:after="60" w:line="320" w:lineRule="auto"/>
        <w:ind w:left="480" w:hanging="24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color w:val="666666"/>
          <w:sz w:val="30"/>
          <w:szCs w:val="30"/>
        </w:rPr>
        <w:t>1. 文中 **** 处需补填实际数据（全市录入栋数、在用/闲置/损坏待修栋数）。</w:t>
      </w:r>
    </w:p>
    <w:p w14:paraId="2BF0C44D">
      <w:pPr>
        <w:spacing w:before="60" w:after="60" w:line="320" w:lineRule="auto"/>
        <w:ind w:left="480" w:hanging="24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color w:val="666666"/>
          <w:sz w:val="30"/>
          <w:szCs w:val="30"/>
          <w:lang w:val="en-US" w:eastAsia="zh-CN"/>
        </w:rPr>
        <w:t>2</w:t>
      </w:r>
      <w:r>
        <w:rPr>
          <w:rFonts w:hint="eastAsia" w:ascii="仿宋_GB2312" w:eastAsia="仿宋_GB2312"/>
          <w:color w:val="666666"/>
          <w:sz w:val="30"/>
          <w:szCs w:val="30"/>
        </w:rPr>
        <w:t>. 财务数据已大幅精简，如评委可能追问细节，建议准备数据备查卡片。</w:t>
      </w:r>
    </w:p>
    <w:p w14:paraId="4EA779B1">
      <w:pPr>
        <w:spacing w:before="60" w:after="60" w:line="320" w:lineRule="auto"/>
        <w:ind w:left="480" w:hanging="24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color w:val="666666"/>
          <w:sz w:val="30"/>
          <w:szCs w:val="30"/>
          <w:lang w:val="en-US" w:eastAsia="zh-CN"/>
        </w:rPr>
        <w:t>3</w:t>
      </w:r>
      <w:r>
        <w:rPr>
          <w:rFonts w:hint="eastAsia" w:ascii="仿宋_GB2312" w:eastAsia="仿宋_GB2312"/>
          <w:color w:val="666666"/>
          <w:sz w:val="30"/>
          <w:szCs w:val="30"/>
        </w:rPr>
        <w:t>. 全文约1750字，</w:t>
      </w:r>
      <w:r>
        <w:rPr>
          <w:rFonts w:hint="eastAsia" w:ascii="仿宋_GB2312" w:eastAsia="仿宋_GB2312"/>
          <w:color w:val="666666"/>
          <w:sz w:val="30"/>
          <w:szCs w:val="30"/>
          <w:lang w:val="en-US" w:eastAsia="zh-CN"/>
        </w:rPr>
        <w:t>可适当精减字数，</w:t>
      </w:r>
      <w:r>
        <w:rPr>
          <w:rFonts w:hint="eastAsia" w:ascii="仿宋_GB2312" w:eastAsia="仿宋_GB2312"/>
          <w:color w:val="666666"/>
          <w:sz w:val="30"/>
          <w:szCs w:val="30"/>
        </w:rPr>
        <w:t>按220字/分钟语速测算，汇报时长约8分钟。建议正式演讲前计时彩排2</w:t>
      </w:r>
      <w:r>
        <w:rPr>
          <w:rFonts w:hint="eastAsia" w:eastAsia="微软雅黑" w:cs="微软雅黑"/>
          <w:color w:val="666666"/>
          <w:sz w:val="30"/>
          <w:szCs w:val="30"/>
        </w:rPr>
        <w:t>–</w:t>
      </w:r>
      <w:r>
        <w:rPr>
          <w:rFonts w:hint="eastAsia" w:ascii="仿宋_GB2312" w:eastAsia="仿宋_GB2312"/>
          <w:color w:val="666666"/>
          <w:sz w:val="30"/>
          <w:szCs w:val="30"/>
        </w:rPr>
        <w:t>3次。</w:t>
      </w:r>
    </w:p>
    <w:p w14:paraId="09F45A9D">
      <w:pPr>
        <w:spacing w:before="60" w:after="60" w:line="320" w:lineRule="auto"/>
        <w:ind w:left="480" w:hanging="240"/>
        <w:rPr>
          <w:rFonts w:hint="eastAsia" w:ascii="仿宋_GB2312" w:eastAsia="仿宋_GB2312"/>
          <w:color w:val="666666"/>
          <w:sz w:val="30"/>
          <w:szCs w:val="30"/>
        </w:rPr>
      </w:pPr>
      <w:r>
        <w:rPr>
          <w:rFonts w:hint="eastAsia" w:ascii="仿宋_GB2312" w:eastAsia="仿宋_GB2312"/>
          <w:color w:val="666666"/>
          <w:sz w:val="30"/>
          <w:szCs w:val="30"/>
          <w:lang w:val="en-US" w:eastAsia="zh-CN"/>
        </w:rPr>
        <w:t>4</w:t>
      </w:r>
      <w:r>
        <w:rPr>
          <w:rFonts w:hint="eastAsia" w:ascii="仿宋_GB2312" w:eastAsia="仿宋_GB2312"/>
          <w:color w:val="666666"/>
          <w:sz w:val="30"/>
          <w:szCs w:val="30"/>
        </w:rPr>
        <w:t>. 各【】标题为结构标记，演讲时自然过渡即可，无需念出。</w:t>
      </w:r>
    </w:p>
    <w:p w14:paraId="059C7ADD">
      <w:pPr>
        <w:spacing w:before="60" w:after="60" w:line="320" w:lineRule="auto"/>
        <w:ind w:left="480" w:hanging="240"/>
        <w:rPr>
          <w:rFonts w:hint="default" w:ascii="仿宋_GB2312" w:eastAsia="仿宋_GB2312"/>
          <w:color w:val="666666"/>
          <w:sz w:val="30"/>
          <w:szCs w:val="30"/>
          <w:lang w:val="en-US" w:eastAsia="zh-CN"/>
        </w:rPr>
      </w:pPr>
      <w:r>
        <w:rPr>
          <w:rFonts w:hint="eastAsia" w:ascii="仿宋_GB2312" w:eastAsia="仿宋_GB2312"/>
          <w:color w:val="666666"/>
          <w:sz w:val="30"/>
          <w:szCs w:val="30"/>
          <w:lang w:val="en-US" w:eastAsia="zh-CN"/>
        </w:rPr>
        <w:t>5. PPT的制作可根据PPT主线的内容进行深化，以多种形式制作。可结合AI视频、动画、PPT等制作，制作完成后我来修改调整。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9C3ED">
    <w:pPr>
      <w:jc w:val="center"/>
    </w:pPr>
    <w:r>
      <w:rPr>
        <w:rFonts w:eastAsia="微软雅黑"/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rFonts w:eastAsia="微软雅黑"/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rFonts w:hint="eastAsia" w:eastAsia="微软雅黑"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rFonts w:eastAsia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F1DE5">
    <w:pPr>
      <w:jc w:val="right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582"/>
    <w:rsid w:val="000142AC"/>
    <w:rsid w:val="001B461B"/>
    <w:rsid w:val="002114D5"/>
    <w:rsid w:val="00260919"/>
    <w:rsid w:val="003C105E"/>
    <w:rsid w:val="00457708"/>
    <w:rsid w:val="0070201E"/>
    <w:rsid w:val="007E3D99"/>
    <w:rsid w:val="008E387B"/>
    <w:rsid w:val="00A91582"/>
    <w:rsid w:val="00D916BE"/>
    <w:rsid w:val="00F12759"/>
    <w:rsid w:val="093C6AE6"/>
    <w:rsid w:val="0C591644"/>
    <w:rsid w:val="14906E5B"/>
    <w:rsid w:val="17350DA7"/>
    <w:rsid w:val="1B090909"/>
    <w:rsid w:val="1B1B5BFB"/>
    <w:rsid w:val="1B817B50"/>
    <w:rsid w:val="1F180EE8"/>
    <w:rsid w:val="2009466C"/>
    <w:rsid w:val="22862631"/>
    <w:rsid w:val="23A579AE"/>
    <w:rsid w:val="24681644"/>
    <w:rsid w:val="2AF95523"/>
    <w:rsid w:val="2C8F7D60"/>
    <w:rsid w:val="2DCE24AE"/>
    <w:rsid w:val="308A509A"/>
    <w:rsid w:val="317D360B"/>
    <w:rsid w:val="32FC7B27"/>
    <w:rsid w:val="36321AB2"/>
    <w:rsid w:val="39BE5975"/>
    <w:rsid w:val="3A9A1A13"/>
    <w:rsid w:val="43000F6E"/>
    <w:rsid w:val="481F1227"/>
    <w:rsid w:val="4C0F1D02"/>
    <w:rsid w:val="4CDC529A"/>
    <w:rsid w:val="4E727AD3"/>
    <w:rsid w:val="51273B6A"/>
    <w:rsid w:val="52D71AB1"/>
    <w:rsid w:val="53FB0B46"/>
    <w:rsid w:val="54CA5A15"/>
    <w:rsid w:val="560B33C9"/>
    <w:rsid w:val="5789732C"/>
    <w:rsid w:val="58055D78"/>
    <w:rsid w:val="5DF240CA"/>
    <w:rsid w:val="5DFD6725"/>
    <w:rsid w:val="65E731BC"/>
    <w:rsid w:val="6A1A14DF"/>
    <w:rsid w:val="6B2A0C5E"/>
    <w:rsid w:val="6C0905E4"/>
    <w:rsid w:val="6E525C2C"/>
    <w:rsid w:val="75DB38D1"/>
    <w:rsid w:val="75EB6C83"/>
    <w:rsid w:val="77DA1086"/>
    <w:rsid w:val="78561266"/>
    <w:rsid w:val="78661439"/>
    <w:rsid w:val="78F2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微软雅黑" w:hAnsi="微软雅黑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微软雅黑" w:hAnsi="微软雅黑" w:cs="Times New Roman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微软雅黑" w:hAnsi="微软雅黑" w:cs="Times New Roman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微软雅黑" w:hAnsi="微软雅黑" w:cs="Times New Roman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微软雅黑" w:hAnsi="微软雅黑" w:cs="Times New Roman" w:eastAsiaTheme="minorEastAsia"/>
      <w:i/>
      <w:iCs/>
      <w:color w:val="2E74B5"/>
      <w:sz w:val="24"/>
      <w:szCs w:val="24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微软雅黑" w:hAnsi="微软雅黑" w:cs="Times New Roman" w:eastAsiaTheme="minorEastAsia"/>
      <w:color w:val="2E74B5"/>
      <w:sz w:val="24"/>
      <w:szCs w:val="24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微软雅黑" w:hAnsi="微软雅黑" w:cs="Times New Roman" w:eastAsiaTheme="minorEastAsia"/>
      <w:color w:val="1F4D78"/>
      <w:sz w:val="24"/>
      <w:szCs w:val="24"/>
      <w:lang w:val="en-US" w:eastAsia="zh-CN" w:bidi="ar-SA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1"/>
    <w:semiHidden/>
    <w:unhideWhenUsed/>
    <w:qFormat/>
    <w:uiPriority w:val="99"/>
    <w:rPr>
      <w:rFonts w:ascii="微软雅黑" w:hAnsi="微软雅黑" w:cs="Times New Roman" w:eastAsiaTheme="minorEastAsia"/>
      <w:sz w:val="20"/>
      <w:szCs w:val="20"/>
      <w:lang w:val="en-US" w:eastAsia="zh-CN" w:bidi="ar-SA"/>
    </w:rPr>
  </w:style>
  <w:style w:type="paragraph" w:styleId="9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footnote text"/>
    <w:link w:val="20"/>
    <w:semiHidden/>
    <w:unhideWhenUsed/>
    <w:qFormat/>
    <w:uiPriority w:val="99"/>
    <w:rPr>
      <w:rFonts w:ascii="微软雅黑" w:hAnsi="微软雅黑" w:cs="Times New Roman" w:eastAsiaTheme="minorEastAsia"/>
      <w:sz w:val="20"/>
      <w:szCs w:val="20"/>
      <w:lang w:val="en-US" w:eastAsia="zh-CN" w:bidi="ar-SA"/>
    </w:rPr>
  </w:style>
  <w:style w:type="paragraph" w:styleId="12">
    <w:name w:val="Title"/>
    <w:qFormat/>
    <w:uiPriority w:val="10"/>
    <w:rPr>
      <w:rFonts w:ascii="微软雅黑" w:hAnsi="微软雅黑" w:cs="Times New Roman" w:eastAsiaTheme="minorEastAsia"/>
      <w:sz w:val="56"/>
      <w:szCs w:val="56"/>
      <w:lang w:val="en-US" w:eastAsia="zh-CN" w:bidi="ar-SA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customStyle="1" w:styleId="18">
    <w:name w:val="要点1"/>
    <w:qFormat/>
    <w:uiPriority w:val="0"/>
    <w:rPr>
      <w:rFonts w:ascii="微软雅黑" w:hAnsi="微软雅黑" w:cs="Times New Roman" w:eastAsiaTheme="minorEastAsia"/>
      <w:b/>
      <w:bCs/>
      <w:sz w:val="24"/>
      <w:szCs w:val="24"/>
      <w:lang w:val="en-US" w:eastAsia="zh-CN" w:bidi="ar-SA"/>
    </w:rPr>
  </w:style>
  <w:style w:type="paragraph" w:styleId="19">
    <w:name w:val="List Paragraph"/>
    <w:qFormat/>
    <w:uiPriority w:val="0"/>
    <w:rPr>
      <w:rFonts w:ascii="微软雅黑" w:hAnsi="微软雅黑" w:cs="Times New Roman" w:eastAsiaTheme="minorEastAsia"/>
      <w:sz w:val="24"/>
      <w:szCs w:val="24"/>
      <w:lang w:val="en-US" w:eastAsia="zh-CN" w:bidi="ar-SA"/>
    </w:rPr>
  </w:style>
  <w:style w:type="character" w:customStyle="1" w:styleId="20">
    <w:name w:val="脚注文本 字符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尾注文本 字符"/>
    <w:link w:val="8"/>
    <w:semiHidden/>
    <w:unhideWhenUsed/>
    <w:qFormat/>
    <w:uiPriority w:val="99"/>
    <w:rPr>
      <w:sz w:val="20"/>
      <w:szCs w:val="20"/>
    </w:rPr>
  </w:style>
  <w:style w:type="character" w:customStyle="1" w:styleId="22">
    <w:name w:val="页眉 字符"/>
    <w:basedOn w:val="14"/>
    <w:link w:val="10"/>
    <w:uiPriority w:val="99"/>
    <w:rPr>
      <w:sz w:val="18"/>
      <w:szCs w:val="18"/>
    </w:rPr>
  </w:style>
  <w:style w:type="character" w:customStyle="1" w:styleId="23">
    <w:name w:val="页脚 字符"/>
    <w:basedOn w:val="14"/>
    <w:link w:val="9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2290</Words>
  <Characters>2325</Characters>
  <Lines>15</Lines>
  <Paragraphs>4</Paragraphs>
  <TotalTime>1</TotalTime>
  <ScaleCrop>false</ScaleCrop>
  <LinksUpToDate>false</LinksUpToDate>
  <CharactersWithSpaces>2334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2026-09-21T12:01:00Z</dcterms:created>
  <dc:creator>Un-named</dc:creator>
  <cp:lastModifiedBy>太阳神</cp:lastModifiedBy>
  <dcterms:modified xsi:type="dcterms:W3CDTF">2026-09-22T01:48:22Z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8E020F9F9FC944C493151975FA2C51A5_12</vt:lpwstr>
  </property>
</Properties>
</file>