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spacing w:after="200"/>
        <w:ind w:firstLine="0"/>
        <w:jc w:val="center"/>
      </w:pPr>
      <w:r>
        <w:rPr>
          <w:rFonts w:ascii="黑体" w:hAnsi="黑体" w:eastAsia="黑体"/>
          <w:b/>
          <w:sz w:val="28"/>
        </w:rPr>
        <w:t>智烤管家</w:t>
      </w:r>
    </w:p>
    <w:p>
      <w:pPr>
        <w:keepLines w:val="0"/>
        <w:spacing w:after="240"/>
        <w:ind w:firstLine="0"/>
        <w:jc w:val="center"/>
      </w:pPr>
      <w:r>
        <w:rPr>
          <w:rFonts w:ascii="黑体" w:hAnsi="黑体" w:eastAsia="黑体"/>
          <w:b/>
          <w:sz w:val="28"/>
        </w:rPr>
        <w:t>修改意见汇总与采纳说明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一、底稿与主线的优先级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最高优先级：以《智烤管家演讲讲稿10.20-修改底稿》为基稿，不照搬10.22轴版对“智用—智管—智投”的重排。保留“先讲问题—一库采数—两模析数—三智用数—成效”的总体次序。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全稿统一单人主讲，删除A/B串场与合说，不把“四队”单独升成第四个数字；四支队伍放进第三智“智管”。视频30秒计入8分钟；口播实际时间需计入翻页、停顿和公式解说。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二、董修改意见：把技术讲成业务选择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三个问题分别对应烟农的用房、合作社的管护、行业的投入，开场先点题再用场景解释；总框架使用123，与采数、析数、用数一一对应。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第一模型的重点不止健康分，还要讲风险部位TOP3与维修排序：哪些烤房先查、查哪一处、修复优先级怎么排。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第二模型既要讲有效烤能和缺口，也应保留千亩村发展趋势、候选点比较、地图沙盘。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“智管”必须同时回答谁来管、人从哪来、钱从哪来、怎样形成流程闭环；四支队伍、合作社、有偿服务、基金归入这里。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三、陈修改意见：减少堆概念，补足因果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把开场的第三个问题具体化，避免“想问问不明”挤占三大痛点；信息中心主任可能不懂烤房，却能理解闲置、故障响应、资金配置。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“Excel导入”要讲清楚亮点：旧数据不重录、唯一编码自动关联部件、扫码弹出信息核验，降低基层录入成本。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健康模型是直接从一库“调取”数据，而不是现场再输入一遍；低于60分先预警、复核后维修，不把预警等同报废。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两个模型适度减量，技术名词保留但解释务求一句一义；为三智扩容，尤其是智用评价、智投资金比较、智管责任闭环。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48次调剂不能无依据等同于48次线上预约；18次报修和其中16条平台工单分开说明。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四、轴修改意见：吸收场景叙事，不照搬结构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值得吸收：固定分房造成“一边空闲、一边排队”；设备坏了从报修到等维修、等配件；管理部门如何决定旧房修复与新建；通过具体操作形成对比。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不宜照搬：轴版改成一库—智用—智管—智投—模型，违背本次已确定的123主线。轴稿中未落实的全市统计、系统自动匹配能力、未来物联网接入等表述不当作既成成效。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五、1022思维导图与零散建议：黑字和新增功能如何融合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核心主线黑字负责回答“为什么做、要解决什么”；新增的预约排序、种植档案、烘烤记录、在线报修、服务评价、资金寿命比较、地图沙盘、AI助手、FineBI大屏等功能只放在能够被实际体验到的场景里，不在一库一股脑罗列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一库讲导入、关联、核验、标准；两模讲算法、步骤、输出；三智分别站在烟农、资金决策者、合作社的角度，说清具体动作、得到的结果和怎样回库。</w:t>
      </w:r>
    </w:p>
    <w:p>
      <w:pPr>
        <w:keepLines w:val="0"/>
        <w:spacing w:after="120"/>
        <w:ind w:firstLine="0"/>
        <w:jc w:val="left"/>
      </w:pPr>
      <w:r>
        <w:rPr>
          <w:rFonts w:ascii="仿宋_GB2312" w:hAnsi="仿宋_GB2312" w:eastAsia="仿宋_GB2312"/>
          <w:b/>
          <w:sz w:val="28"/>
        </w:rPr>
        <w:t>六、9.30旧稿保留与数据边界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保留“资源无统筹、投入无量化、管护无闭环”“一房一档”“先修旧房再建新房”和四队基金机制；删除模型不必要的反复赞词，避免把“创新”说成口号。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当前选用秭归2442座、340多座重点风险、48次调剂、18次报修、16条平台工单平均响应0.38小时、1363栋及约81%作为底稿示例口径；150栋设备升级和肖家坪7栋新建仅说为相关投入安排提供辅助依据，不虚构全市统一口径。</w:t>
      </w:r>
    </w:p>
    <w:p>
      <w:pPr>
        <w:keepLines w:val="0"/>
        <w:spacing w:after="0"/>
        <w:ind w:firstLine="0"/>
        <w:jc w:val="left"/>
      </w:pPr>
      <w:r>
        <w:rPr>
          <w:rFonts w:ascii="仿宋_GB2312" w:hAnsi="仿宋_GB2312" w:eastAsia="仿宋_GB2312"/>
          <w:b w:val="0"/>
          <w:sz w:val="28"/>
        </w:rPr>
        <w:t>原稿满意度95.8%，另有材料存在其他口径，当前净稿不引用。2026年大赛要求.doc为老式.doc格式，本轮无法取得其完整条文，不能宣称已完成赛事规则逐款复核；按用户明确的8分钟（含30秒视频）安排。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