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Lines w:val="0"/>
        <w:spacing w:after="200"/>
        <w:ind w:firstLine="0"/>
        <w:jc w:val="center"/>
      </w:pPr>
      <w:r>
        <w:rPr>
          <w:rFonts w:ascii="黑体" w:hAnsi="黑体" w:eastAsia="黑体"/>
          <w:b/>
          <w:sz w:val="28"/>
        </w:rPr>
        <w:t>智烤管家</w:t>
      </w:r>
    </w:p>
    <w:p>
      <w:pPr>
        <w:keepLines w:val="0"/>
        <w:spacing w:after="240"/>
        <w:ind w:firstLine="0"/>
        <w:jc w:val="center"/>
      </w:pPr>
      <w:r>
        <w:rPr>
          <w:rFonts w:ascii="黑体" w:hAnsi="黑体" w:eastAsia="黑体"/>
          <w:b/>
          <w:sz w:val="28"/>
        </w:rPr>
        <w:t>衔接逻辑与单人排练提示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一、内容与节奏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演讲时间按总共8分钟安排，其中视频30秒，单人口播最多7分30秒。正式字数落在约1500—1800字区间；含数字字母的书面计数不同于口播时间，必须按实际点击PPT的速度测时。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推荐分配：开场及问题1分20秒，一库约55秒，两模约1分40秒，三智约2分45秒，成果与结束约50秒，合计7分30秒；以上是排练目标，并非实测达标承诺。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二、自然转场的四个关键句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痛点→123：“先把每栋烤房的情况采上来，再用模型算清楚，最后让结果走进烟农和管理人员手里。”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采数→析数：“家底摸清了，问题才真正开始：同样是十年老房，哪栋最该修？”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模型一→模型二：“旧房该修谁算清了，还得回答新房该不该建。先盘活存量，才能谈增量。”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析数→用数：“如果风险清单只停在电脑里，烟农还是借不到房，所以模型算出的答案，必须变成办得成的事。”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用数→采数：“换了哪个部件、何时修好、烟农怎么评价，随工单一起更新，两个模型下一次计算用的就是新数据。”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三、口播技术处理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AHP读作“层次分析法（A-H-P）”，威布尔分布读作“威布尔分布”，TOPSIS建议第一次说“TOPSIS排序法”；专业名词只报一遍，立刻用维修优先级或选址排名解释。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Q和D建议说成“有效烤能Q”和“理论需求D”，不用念字母的英文全称；讲地图沙盘时翻到页面，停半拍后再说“村东两栋、村西三栋”。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每个“第一、第二、第三”和“四步：数需评推”适度停顿，不要用夸张口号；讲数字时只强调一个指标对应的业务价值。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四、提交前需要业务确认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150栋核心设备升级究竟是已完成、已纳入计划，还是提供决策辅助，须以正式业务确认口径为准；净稿采用谨慎表述。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“340多座重点风险”“48次调剂”“18次报修”“16条平台工单0.38小时”是否同周期、同范围；不要将调剂次数说成小程序预约次数。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满意度数据存在不同版本差异，净稿暂不使用。2026大赛要求的旧式.doc仍需逐条核对。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