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spacing w:after="200"/>
        <w:ind w:firstLine="0"/>
        <w:jc w:val="center"/>
      </w:pPr>
      <w:r>
        <w:rPr>
          <w:rFonts w:ascii="黑体" w:hAnsi="黑体" w:eastAsia="黑体"/>
          <w:b/>
          <w:sz w:val="28"/>
        </w:rPr>
        <w:t>智烤管家</w:t>
      </w:r>
    </w:p>
    <w:p>
      <w:pPr>
        <w:keepLines w:val="0"/>
        <w:spacing w:after="240"/>
        <w:ind w:firstLine="0"/>
        <w:jc w:val="center"/>
      </w:pPr>
      <w:r>
        <w:rPr>
          <w:rFonts w:ascii="黑体" w:hAnsi="黑体" w:eastAsia="黑体"/>
          <w:b/>
          <w:sz w:val="28"/>
        </w:rPr>
        <w:t>10.20底稿逐段修改对照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1、开场 p2—p6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【原稿】原稿A/B问答，先说“三大愁：想用、想修、想问”；烟农、合作社、行业难点混杂。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【新版】单人第一句话集中点“调不动、修不快、投不准”，紧接三段分别讲固定占房、风机故障、资金布局；由三场景提炼“无统筹、无依据、无闭环”。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【修改原因】评委不用先懂烟叶，就能立即理解资源错配、工单延迟和投资决策风险。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2、方案总起 p6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【原稿】原稿出现“1234”，四队同三智并列，随后内容又主要按123展开。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【新版】调整为“一库采数、两模析数、三智用数”，四队归入智管。开场问题与解决路径逐一对应。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【修改原因】由三个痛点自然推到数据链，而不是报目录。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3、采数 p7—p9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【原稿】过去讲老台账电子化、现场拍照、四部位建档，但未说明旧台账和新的运行评价怎么衔接。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【新版】强调旧Excel直接导入、烤房唯一编码关联四类十八部位，技术员扫码核验和标注状态；后续预约/维修/评价继续回库。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【修改原因】凸显低代码采集效率与数据更新机制。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4、析数模型一 p10—p12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【原稿】原稿步骤较长且读起来像重复录入，低分阈值与现场动作断开。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【新版】保留取数—计算—输出三步，点名AHP、威布尔、健康分、剩余寿命、TOP3、优先清单；低于60先预警、复核再修。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【修改原因】专业术语保留，结果和运维动作明确。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5、析数模型二 p13—p16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【原稿】原稿把所有因子和算法集中在一长句，评价与沙盘的作用不直观。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【新版】保留数—需—评—推，Q与D、AHP+熵权法、TOPSIS、地图沙盘建2栋/3栋的比较。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【修改原因】突出第一模的存量信息如何用于第二模的增量判断。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6、三智总起 p17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【原稿】原稿“模型算得出，更要业务用得上”较笼统。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【新版】改成“风险清单停在电脑里，烟农还是借不到房”并顺势引出用数。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【修改原因】从技术结果自然转向场景落地。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7、智用 p17—p18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【原稿】原稿罗列查看和报修，缺少一个烟农从找房到评价的连续场景。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【新版】回扣开头等房烟农：打开小程序看档案和记录—筛选可用时段—申请调剂—报修查进度—对服务和设备评价。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【修改原因】讲完整的用户旅程，体现数据真的帮人办事。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8、智投 p19—p20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【原稿】原稿围绕风险清单、候选点排序堆功能，没有交代资金为什么更合理。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【新版】将维修配件价格与寿命比较、新建点位“村东两栋/村西三栋”沙盘比较变成直观操作；建设与投入仍经人审。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【修改原因】让信息中心主任看到算法支撑决策，而非代替规范审批。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9、智管 p21—p24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【原稿】原稿分散解释工单、四队、基金，缺少一个流程串联。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【新版】工单派发—人员携件上门—验收评价—维修结果回库；线上看板与AI助手，线下四队加制度基金保障。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【修改原因】回答“谁干、钱哪来、管多久”，闭合系统数据链。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10、成果 p25—p29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【原稿】原稿成果数字密集、重复，A/B口号割裂，部分统计口径存在差异。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【新版】只取核心可信指标；保留秭归范围、区分48次调剂和线上预约、18次报修与16条工单。最后用三个“从…到…”回扣三痛点。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【修改原因】避免盲目扩大数据、保证现场可复述。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