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V6发布稿：25页PPT逐页对应与时间预算</w:t>
      </w:r>
    </w:p>
    <w:p>
      <w:r>
        <w:t>完整版2072汉字，A/B=1463/609；彩排版1728汉字，A/B=1231/497。视频30秒、换页25秒，时间必须以完整AB排练核证。</w:t>
      </w:r>
    </w:p>
    <w:p>
      <w:pPr>
        <w:pStyle w:val="Heading2"/>
      </w:pPr>
      <w:r>
        <w:t>第1页｜P1｜开篇</w:t>
      </w:r>
    </w:p>
    <w:p>
      <w:r>
        <w:t>A：尊敬的各位领导、各位专家，大家好！我们是宜昌烟草“智同道合”创客小组。今天带来的《智烤管家》，要回答烤房怎样用得上、修得准、管得久。</w:t>
      </w:r>
    </w:p>
    <w:p>
      <w:r>
        <w:t>B：烟叶种得好，更要烤得好。烤房是烟叶提质增香的“匠心工坊”。</w:t>
      </w:r>
    </w:p>
    <w:p>
      <w:pPr>
        <w:pStyle w:val="Heading2"/>
      </w:pPr>
      <w:r>
        <w:t>第2页｜P2｜30秒开场视频</w:t>
      </w:r>
    </w:p>
    <w:p>
      <w:r>
        <w:t>30秒视频静默播放；原视频需裁剪，其他嵌入演示不能额外完整播放。</w:t>
      </w:r>
    </w:p>
    <w:p>
      <w:pPr>
        <w:pStyle w:val="Heading2"/>
      </w:pPr>
      <w:r>
        <w:t>第3页｜P3—P4｜烟农3愁与管理3缺</w:t>
      </w:r>
    </w:p>
    <w:p>
      <w:r>
        <w:t>A：烘烤旺季，鲜烟叶采下了，却找不到空房；风机停转，报修后仍在等师傅、等配件；好不容易有人管，又问不清进度。耽误一分，牵动一炕烟。这就是烟农最现实的“3大愁”：**想用，调不到；想修，等不及；想问，问不明。**</w:t>
      </w:r>
    </w:p>
    <w:p>
      <w:r>
        <w:t>B：3件烦心事，背后是3个管理症结：**资源无统筹、投入无量化、管护无闭环。** 有房调不动，维修靠经验，管护没闭环。</w:t>
      </w:r>
    </w:p>
    <w:p>
      <w:r>
        <w:t>A：所以，要解决的不是某一笔报修，而是让烤房资源调得动、资金投得准、设施管得住，还能长期坚持。</w:t>
      </w:r>
    </w:p>
    <w:p>
      <w:pPr>
        <w:pStyle w:val="Heading2"/>
      </w:pPr>
      <w:r>
        <w:t>第4页｜P3—P4｜烟农3愁与管理3缺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第5页｜P5｜1234解决方案</w:t>
      </w:r>
    </w:p>
    <w:p>
      <w:r>
        <w:t>A：我们构建“**1234**”一体化方案：**1库见底**，摸清每座烤房的真实状态；**2模决策**，回答“先修哪栋、应该建哪”；**3智落地**，把“智用、智投、智管”送进实际业务；**4队长效**，用专业队伍、制度和基金确保长久运行。</w:t>
      </w:r>
    </w:p>
    <w:p>
      <w:r>
        <w:t>B：4个环节前后衔接、循环更新。</w:t>
      </w:r>
    </w:p>
    <w:p>
      <w:pPr>
        <w:pStyle w:val="Heading2"/>
      </w:pPr>
      <w:r>
        <w:t>第6页｜P6｜1库见底：一房一档怎么来</w:t>
      </w:r>
    </w:p>
    <w:p>
      <w:r>
        <w:t>A：先说“1库”。我们不是把旧台账搬到电脑，而是让技术员带着手机逐栋进现场：**拍照留痕、GPS定位、表单录入、标准核验**。围绕加热、散热、自控、主体4大部位，核查18个关键项目，统一标记“正常、损坏、缺失”，同步校验名称与坐标。档案关联部件、维修及评价。</w:t>
      </w:r>
    </w:p>
    <w:p>
      <w:r>
        <w:t>B：修过什么，一查便知。</w:t>
      </w:r>
    </w:p>
    <w:p>
      <w:r>
        <w:t>A：过去只知道“建过多少”，现在还知道“在哪儿、好不好、能不能用”。依托22个低代码应用和6类分析报表，秭归2442座烤房实现全口径建档，动态底图，数据可查。</w:t>
      </w:r>
    </w:p>
    <w:p>
      <w:r>
        <w:t>清查18项与健康模型计算12项应提供明确字段映射。</w:t>
      </w:r>
    </w:p>
    <w:p>
      <w:pPr>
        <w:pStyle w:val="Heading2"/>
      </w:pPr>
      <w:r>
        <w:t>第7页｜P7—P9｜2模之一：健康评估</w:t>
      </w:r>
    </w:p>
    <w:p>
      <w:r>
        <w:t>B：底数清楚了，还有一个关键问题：维修经费有限，究竟先修哪栋？先查哪个部件？</w:t>
      </w:r>
    </w:p>
    <w:p>
      <w:r>
        <w:t>A：第1个模型，给烤房做一次有依据的“数字体检”，分3步。**先输入**基础档案、部件数据、检查评价、管护维修记录；**再计算**，由AHP确定部件权重，按部件状态80%、管护10%、评价10%合成整栋健康分，结合年限估算寿命；**后输出**风险烤房、风险部位TOP3和推荐维修优先清单。</w:t>
      </w:r>
    </w:p>
    <w:p>
      <w:r>
        <w:t>B：健康分低于60的对象进入预警，技术员据此核查风险部位。先找风险、再定维修，少些盲目排查，多些精准投入。</w:t>
      </w:r>
    </w:p>
    <w:p>
      <w:pPr>
        <w:pStyle w:val="Heading2"/>
      </w:pPr>
      <w:r>
        <w:t>第8页｜P7—P9｜2模之一：健康评估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第9页｜P7—P9｜2模之一：健康评估</w:t>
      </w:r>
    </w:p>
    <w:p>
      <w:r>
        <w:t>与前一页同组解说，使用模型图或界面作支撑，不额外增加重复口播。</w:t>
      </w:r>
    </w:p>
    <w:p>
      <w:r>
        <w:t>技术校核：P8寿命公式与P9 Weibull文字需确认同版。</w:t>
      </w:r>
    </w:p>
    <w:p>
      <w:pPr>
        <w:pStyle w:val="Heading2"/>
      </w:pPr>
      <w:r>
        <w:t>第10页｜P10—P11｜2模之二：千亩村发展导引</w:t>
      </w:r>
    </w:p>
    <w:p>
      <w:r>
        <w:t>A：但维修算得准，不代表新建就不会盲目。一个村看上去烤房不少，可能因设备老化而烤能不足；另一个村或许修复调剂就够。**存量不清，增量难准。**</w:t>
      </w:r>
    </w:p>
    <w:p>
      <w:r>
        <w:t>B：那么，村里到底缺不缺、缺多少、选在哪里，怎样用数据回答？</w:t>
      </w:r>
    </w:p>
    <w:p>
      <w:r>
        <w:t>A：第2个模型，沿着“**数、需、评、推**”4步走。“数”，汇集烤房、种植生产、村级发展和候选点数据；“需”，将健康状态折算为有效烤能Q，与理论需求D比较，识别真实缺口；“评”，结合AHP与熵权赋权、TOPSIS点位排序；“推”，在地图沙盘模拟新增栋数、位置，重算供需及发展指数，比较方案改善效果。</w:t>
      </w:r>
    </w:p>
    <w:p>
      <w:r>
        <w:t>A：这2个模型最大的创新在于联动：**第1模决定旧房还能提供多少有效烤能，第2模据此判断新房到底该不该建。** 先修存量、再补缺口，既讲技术，也讲投入效益。</w:t>
      </w:r>
    </w:p>
    <w:p>
      <w:pPr>
        <w:pStyle w:val="Heading2"/>
      </w:pPr>
      <w:r>
        <w:t>第11页｜P10—P11｜2模之二：千亩村发展导引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第12页｜P12—P15｜3智之智用：服务送到手里</w:t>
      </w:r>
    </w:p>
    <w:p>
      <w:r>
        <w:t>A：模型会算，还得有人用。3智面向烟农、管理人员、合作社协同运行。**第1智是“智用”，解决烟农的找房难、报修难。** 烟农打开小程序，能查看周边烤房的位置与状态，申请调剂；发生故障一键报修，工单有进度、处置有结果。风险部位辅助定位，配件型号与库存协同匹配，烟农双向评价烤房和服务。</w:t>
      </w:r>
    </w:p>
    <w:p>
      <w:r>
        <w:t>B：以前找空房靠打听、坏了设备靠打电话；现在调剂有入口、报修有回音。一个烤季记录48次调剂、18次报修，抢修均控制在3小时内；其中16条平台工单，平均响应0.38小时。</w:t>
      </w:r>
    </w:p>
    <w:p>
      <w:pPr>
        <w:pStyle w:val="Heading2"/>
      </w:pPr>
      <w:r>
        <w:t>第13页｜P12—P15｜3智之智用：服务送到手里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第14页｜P12—P15｜3智之智用：服务送到手里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第15页｜P12—P15｜3智之智用：服务送到手里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第16页｜P16—P17｜3智之智投：投入有理有据</w:t>
      </w:r>
    </w:p>
    <w:p>
      <w:r>
        <w:t>B：烟农用得方便了，下一步是把有限的投入用在刀刃上。维修清单从哪里来，新建方案凭什么选？</w:t>
      </w:r>
    </w:p>
    <w:p>
      <w:r>
        <w:t>A：**第2智是“智投”，解决“修谁、建哪、投多少”。** 一头接健康模型，按照风险部位、健康分和维修优先级形成修复建议；一头接发展导引，依据真实缺口、候选点排名和沙盘演练比较新建方案，提出候选建设建议。系统已筛出340多座健康分低于60的预警对象，作为重点复核和维修安排的参考。模型给建议，现场和审批来把关。</w:t>
      </w:r>
    </w:p>
    <w:p>
      <w:pPr>
        <w:pStyle w:val="Heading2"/>
      </w:pPr>
      <w:r>
        <w:t>第17页｜P16—P17｜3智之智投：投入有理有据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第18页｜P18—P19｜3智之智管：一次服务变成长效数据</w:t>
      </w:r>
    </w:p>
    <w:p>
      <w:r>
        <w:t>A：**第3智是“智管”，解决“谁来做、做没做、做得怎么样”。** 从申请、派单、维修，到验收、评价、回写，全部串成一条流程；巡检与维修回写数据、重算健康分，AI助手辅助督办。</w:t>
      </w:r>
    </w:p>
    <w:p>
      <w:r>
        <w:t>B：闭环不是“已完成”按钮，而是处置有据、评价回库。修后数据用于下轮研判。</w:t>
      </w:r>
    </w:p>
    <w:p>
      <w:pPr>
        <w:pStyle w:val="Heading2"/>
      </w:pPr>
      <w:r>
        <w:t>第19页｜P18—P19｜3智之智管：一次服务变成长效数据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第20页｜P20—P21｜4队长效：平台之后还有人</w:t>
      </w:r>
    </w:p>
    <w:p>
      <w:r>
        <w:t>B：平台会分析、能派单，但山路还得有人走，设备还得有人修。人员、制度和经费怎么接续？</w:t>
      </w:r>
    </w:p>
    <w:p>
      <w:r>
        <w:t>A：我们依托合作社建立4支专业队伍：**烟叶调制队**管烘烤指导，**紧急抢修队**管故障与配件，**日常管护队**管巡检和养护，**综合管理队**管验收、考核与基金；配套行业管护操作规范、合作社管护方案，落实产权公有、专业管护、有偿服务。</w:t>
      </w:r>
    </w:p>
    <w:p>
      <w:r>
        <w:t>B：现在，两级合作社统筹管护1363栋，其中县级1175栋、村级188栋，覆盖年度在用1672栋的约81%；管护基金总额近190万元。有队伍、有制度、有经费，平台才能从上线走向常态运行。</w:t>
      </w:r>
    </w:p>
    <w:p>
      <w:pPr>
        <w:pStyle w:val="Heading2"/>
      </w:pPr>
      <w:r>
        <w:t>第21页｜P20—P21｜4队长效：平台之后还有人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第22页｜P22—P24｜让成效和创新说话</w:t>
      </w:r>
    </w:p>
    <w:p>
      <w:r>
        <w:t>A：一个烤季，成果摆在这里：**2442座建档、340多座风险预警、48次调剂、18次报修；16条工单平均响应0.38小时；531份有效问卷综合满意度96.8%；1363栋纳入合作社统筹管护。** 数据背后，是资源从摸不清变成看得见，投入从凭感觉变成有测算，管护从临时救急变成有组织、有标准、有回写。</w:t>
      </w:r>
    </w:p>
    <w:p>
      <w:r>
        <w:t>B：我们创新的不只是一套软件，而是把**健康评估与新建导引联动，把调剂、投入、运维放进同一条业务链**。数据不是终点，而是下一次决策的起点。</w:t>
      </w:r>
    </w:p>
    <w:p>
      <w:pPr>
        <w:pStyle w:val="Heading2"/>
      </w:pPr>
      <w:r>
        <w:t>第23页｜P22—P24｜让成效和创新说话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第24页｜P22—P24｜让成效和创新说话</w:t>
      </w:r>
    </w:p>
    <w:p>
      <w:r>
        <w:t>与前一页同组解说，使用模型图或界面作支撑，不额外增加重复口播。</w:t>
      </w:r>
    </w:p>
    <w:p>
      <w:pPr>
        <w:pStyle w:val="Heading2"/>
      </w:pPr>
      <w:r>
        <w:t>第25页｜P25｜结语</w:t>
      </w:r>
    </w:p>
    <w:p>
      <w:r>
        <w:t>A：从单栋健康档案到村级建设决策，再到全域管护闭环。我们将因地制宜校准模型、稳步推广。</w:t>
      </w:r>
    </w:p>
    <w:p>
      <w:r>
        <w:t>B：1库清底数，2模明方向，3智见实效，4队护长远。**聚数成方，一脉致远！** 我们的汇报完毕，谢谢大家！</w:t>
      </w:r>
    </w:p>
    <w:p>
      <w:pPr>
        <w:pStyle w:val="Heading2"/>
      </w:pPr>
      <w:r>
        <w:t>时间预算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版本</w:t>
            </w:r>
          </w:p>
        </w:tc>
        <w:tc>
          <w:tcPr>
            <w:tcW w:type="dxa" w:w="1728"/>
          </w:tcPr>
          <w:p>
            <w:r>
              <w:t>可朗读汉字</w:t>
            </w:r>
          </w:p>
        </w:tc>
        <w:tc>
          <w:tcPr>
            <w:tcW w:type="dxa" w:w="1728"/>
          </w:tcPr>
          <w:p>
            <w:r>
              <w:t>语速假设</w:t>
            </w:r>
          </w:p>
        </w:tc>
        <w:tc>
          <w:tcPr>
            <w:tcW w:type="dxa" w:w="1728"/>
          </w:tcPr>
          <w:p>
            <w:r>
              <w:t>含视频与切页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10分20秒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9分44秒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9分12秒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8分35秒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完整版</w:t>
            </w:r>
          </w:p>
        </w:tc>
        <w:tc>
          <w:tcPr>
            <w:tcW w:type="dxa" w:w="1728"/>
          </w:tcPr>
          <w:p>
            <w:r>
              <w:t>2072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8分11秒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彩排版</w:t>
            </w:r>
          </w:p>
        </w:tc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220汉字／分</w:t>
            </w:r>
          </w:p>
        </w:tc>
        <w:tc>
          <w:tcPr>
            <w:tcW w:type="dxa" w:w="1728"/>
          </w:tcPr>
          <w:p>
            <w:r>
              <w:t>8分46秒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彩排版</w:t>
            </w:r>
          </w:p>
        </w:tc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235汉字／分</w:t>
            </w:r>
          </w:p>
        </w:tc>
        <w:tc>
          <w:tcPr>
            <w:tcW w:type="dxa" w:w="1728"/>
          </w:tcPr>
          <w:p>
            <w:r>
              <w:t>8分16秒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彩排版</w:t>
            </w:r>
          </w:p>
        </w:tc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250汉字／分</w:t>
            </w:r>
          </w:p>
        </w:tc>
        <w:tc>
          <w:tcPr>
            <w:tcW w:type="dxa" w:w="1728"/>
          </w:tcPr>
          <w:p>
            <w:r>
              <w:t>7分50秒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彩排版</w:t>
            </w:r>
          </w:p>
        </w:tc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270汉字／分</w:t>
            </w:r>
          </w:p>
        </w:tc>
        <w:tc>
          <w:tcPr>
            <w:tcW w:type="dxa" w:w="1728"/>
          </w:tcPr>
          <w:p>
            <w:r>
              <w:t>7分19秒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  <w:tr>
        <w:tc>
          <w:tcPr>
            <w:tcW w:type="dxa" w:w="1728"/>
          </w:tcPr>
          <w:p>
            <w:r>
              <w:t>彩排版</w:t>
            </w:r>
          </w:p>
        </w:tc>
        <w:tc>
          <w:tcPr>
            <w:tcW w:type="dxa" w:w="1728"/>
          </w:tcPr>
          <w:p>
            <w:r>
              <w:t>1728</w:t>
            </w:r>
          </w:p>
        </w:tc>
        <w:tc>
          <w:tcPr>
            <w:tcW w:type="dxa" w:w="1728"/>
          </w:tcPr>
          <w:p>
            <w:r>
              <w:t>285汉字／分</w:t>
            </w:r>
          </w:p>
        </w:tc>
        <w:tc>
          <w:tcPr>
            <w:tcW w:type="dxa" w:w="1728"/>
          </w:tcPr>
          <w:p>
            <w:r>
              <w:t>6分59秒</w:t>
            </w:r>
          </w:p>
        </w:tc>
        <w:tc>
          <w:tcPr>
            <w:tcW w:type="dxa" w:w="1728"/>
          </w:tcPr>
          <w:p>
            <w:r>
              <w:t>需现场验证</w:t>
            </w:r>
          </w:p>
        </w:tc>
      </w:tr>
    </w:tbl>
    <w:p>
      <w:r>
        <w:t>实际读出AHP、TOPSIS、数字及英文缩写所需时间可能长于汉字估算，完整版并非可靠的8分钟上场版本。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