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智烤管家：V4官方叙述体系与决赛一万字研究稿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/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p>
      <w:pPr>
        <w:pStyle w:val="Heading2"/>
      </w:pPr>
      <w:r>
        <w:t>十七、V4官方表述定稿条款：激情与准确如何兼容</w:t>
      </w:r>
    </w:p>
    <w:p>
      <w:pPr/>
      <w:r>
        <w:t>严守对象：项目专注烟叶调制设施“用、投、管”的资产管理与业务协同，并非自动烘烤温控机器人或卷烟营销智能投放系统。获奖稿提供表达样式，而不提供本项目事实证据。</w:t>
      </w:r>
    </w:p>
    <w:p>
      <w:pPr/>
      <w:r>
        <w:t>严守范围：2442座为全口径建档范围；健康分低于60的340多座是预警研判对象；1363是统筹管护栋数，1672为本年度在用分母；基金近190万元指总额。</w:t>
      </w:r>
    </w:p>
    <w:p>
      <w:pPr/>
      <w:r>
        <w:t>严守动作：一键报修、调剂申请、派单、评价回写可讲功能和运行记录；对与AI有关的查询提示，不应说成自动替代审批、验收和建设决策。</w:t>
      </w:r>
    </w:p>
    <w:p>
      <w:pPr/>
      <w:r>
        <w:t>严守算法：现场讲出第一模型输入、AHP加权、80/10/10、剩余寿命及三项输出；第二模型讲数需评推、Q、D、AHP＋熵权、TOPSIS及沙盘。P8与P9寿命算法出现不同表述，需要团队统一。</w:t>
      </w:r>
    </w:p>
    <w:p>
      <w:pPr/>
      <w:r>
        <w:t>严守成效：16条平台工单平均响应0.38小时并不是18次报修的平均维修时间；满意度采用531份有效问卷96.8%的官方口径，不能延用9.30原稿95.8%。</w:t>
      </w:r>
    </w:p>
    <w:p>
      <w:pPr/>
      <w:r>
        <w:t>演讲语言不虚夸：少用“彻底解决、全面消灭、全国第一”等没有对照或检索证据的词，增强力度的办法是三次事实递进：有没有档案、有没有判断、有没有队伍和资金。</w:t>
      </w:r>
    </w:p>
    <w:p>
      <w:pPr/>
      <w:r>
        <w:t>舞台结构：前40秒让评委同情烟农，紧接用三缺建立问题张力；1234之后每介绍一种能力都立即给出业务用途；结尾将一库、两模、三智、四队重新收束为“让烟农多一分踏实”。</w:t>
      </w:r>
    </w:p>
    <w:p>
      <w:pPr>
        <w:pStyle w:val="Heading2"/>
      </w:pPr>
      <w:r>
        <w:t>V5附章：演讲激情和官方严谨的双重标准</w:t>
      </w:r>
    </w:p>
    <w:p>
      <w:r>
        <w:t>保留“匠心工坊”“资源无统筹、投入无量化、管护无闭环”等原稿关键词。用鲜明对仗提升可听性，但不把“模型建议”说成“政策批准”，不把“预警”说成“修复完成”。</w:t>
      </w:r>
    </w:p>
    <w:p>
      <w:r>
        <w:t>身份定位：智烤管家是烤房用投管一体化解决方案。AHP、熵权、TOPSIS和健康分是业务决策方法，AI助手是查询辅助，不能误称“AI全自动选址”“AI替代维修决策”。</w:t>
      </w:r>
    </w:p>
    <w:p>
      <w:r>
        <w:t>表达顺序：30秒视频 → 三愁三缺 → 1234体系 → 一库 → 两模 → 三智 → 四队 → 量化成效 → 可复制的机制。烟叶与信息条线评委均可沿因果链理解。</w:t>
      </w:r>
    </w:p>
    <w:p>
      <w:r>
        <w:t>技术底稿务必回答：18项清查与12项算法参数的映射；P8寿命短板融合公式与P9 Weibull拟合表述的关系；16条平均响应工单与18次报修的不同统计分母。</w:t>
      </w:r>
    </w:p>
    <w:p>
      <w:r>
        <w:t>正式舞台版本共1554个口述汉字；A/B角色约70/30；按220字每分钟口述、30秒视频和20秒切页估计约7分54秒，属于紧凑编排，必须实测彩排。</w:t>
      </w:r>
    </w:p>
    <w:p>
      <w:pPr>
        <w:pStyle w:val="Heading2"/>
      </w:pPr>
      <w:r>
        <w:t>V6增订：从QC发布法到八分钟决赛表达的正式叙述标准</w:t>
      </w:r>
    </w:p>
    <w:p>
      <w:r>
        <w:t>角色：A为主发布人，承担技术、业务、结论；B为评委视角引导人，依问题递进提问，禁止机械捧哏、反复口语感叹。台词按实际汉字计数约70%和30%。</w:t>
      </w:r>
    </w:p>
    <w:p>
      <w:r>
        <w:t>技术：模型1必须讲AHP部件权重、80/10/10综合健康分、寿命估计、风险部位TOP3与维修清单；模型2必须讲Q有效烤能、D理论需求、AHP＋熵权、TOPSIS排序与地图沙盘。</w:t>
      </w:r>
    </w:p>
    <w:p>
      <w:r>
        <w:t>应用：不把“预警研判对象”说成“已经全部修复”，不把“工单响应时间”误当“维修完工时间”，不把“管护基金总额”说成“年度可支配余额”。</w:t>
      </w:r>
    </w:p>
    <w:p>
      <w:r>
        <w:t>QC项目独立：原QC稿相关40分钟、17.9分钟、经济效益、专利材料不得认定为智烤管家自有数据或项目实绩。</w:t>
      </w:r>
    </w:p>
    <w:p>
      <w:r>
        <w:t>节奏：严格将30秒开场视频计入8分钟，保留至少20秒换页与停顿；未经实测不得宣布准时通过。PPT的其他嵌入演示视频如完整加播，必须等量删减台词。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