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V6｜9.30原稿、历版与QC方法融合对照及备答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保留优势</w:t>
            </w:r>
          </w:p>
        </w:tc>
        <w:tc>
          <w:tcPr>
            <w:tcW w:type="dxa" w:w="2880"/>
          </w:tcPr>
          <w:p>
            <w:r>
              <w:t>修改用途</w:t>
            </w:r>
          </w:p>
        </w:tc>
      </w:tr>
      <w:tr>
        <w:tc>
          <w:tcPr>
            <w:tcW w:type="dxa" w:w="2880"/>
          </w:tcPr>
          <w:p>
            <w:r>
              <w:t>9.30原稿</w:t>
            </w:r>
          </w:p>
        </w:tc>
        <w:tc>
          <w:tcPr>
            <w:tcW w:type="dxa" w:w="2880"/>
          </w:tcPr>
          <w:p>
            <w:r>
              <w:t>匠心工坊、三缺、管理实效与基金机制</w:t>
            </w:r>
          </w:p>
        </w:tc>
        <w:tc>
          <w:tcPr>
            <w:tcW w:type="dxa" w:w="2880"/>
          </w:tcPr>
          <w:p>
            <w:r>
              <w:t>保留语言力量和业务信息，纠正未经证实完成性描述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现场冲突与双人节奏</w:t>
            </w:r>
          </w:p>
        </w:tc>
        <w:tc>
          <w:tcPr>
            <w:tcW w:type="dxa" w:w="2880"/>
          </w:tcPr>
          <w:p>
            <w:r>
              <w:t>三愁→三缺建立立题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体检与选址的可理解类比</w:t>
            </w:r>
          </w:p>
        </w:tc>
        <w:tc>
          <w:tcPr>
            <w:tcW w:type="dxa" w:w="2880"/>
          </w:tcPr>
          <w:p>
            <w:r>
              <w:t>简明生活化解释技术内核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双模型完整步骤</w:t>
            </w:r>
          </w:p>
        </w:tc>
        <w:tc>
          <w:tcPr>
            <w:tcW w:type="dxa" w:w="2880"/>
          </w:tcPr>
          <w:p>
            <w:r>
              <w:t>模型输入→计算→结果和管理用途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激情凝练、四队闭环</w:t>
            </w:r>
          </w:p>
        </w:tc>
        <w:tc>
          <w:tcPr>
            <w:tcW w:type="dxa" w:w="2880"/>
          </w:tcPr>
          <w:p>
            <w:r>
              <w:t>正式对仗、长效机制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双模型相互耦合</w:t>
            </w:r>
          </w:p>
        </w:tc>
        <w:tc>
          <w:tcPr>
            <w:tcW w:type="dxa" w:w="2880"/>
          </w:tcPr>
          <w:p>
            <w:r>
              <w:t>健康改变有效烤能影响新建投入</w:t>
            </w:r>
          </w:p>
        </w:tc>
      </w:tr>
      <w:tr>
        <w:tc>
          <w:tcPr>
            <w:tcW w:type="dxa" w:w="2880"/>
          </w:tcPr>
          <w:p>
            <w:r>
              <w:t>15分钟QC发布词</w:t>
            </w:r>
          </w:p>
        </w:tc>
        <w:tc>
          <w:tcPr>
            <w:tcW w:type="dxa" w:w="2880"/>
          </w:tcPr>
          <w:p>
            <w:r>
              <w:t>B带身份、现场证据、目标验证与标准化</w:t>
            </w:r>
          </w:p>
        </w:tc>
        <w:tc>
          <w:tcPr>
            <w:tcW w:type="dxa" w:w="2880"/>
          </w:tcPr>
          <w:p>
            <w:r>
              <w:t>B代表评委追问，A作专业论证，不套用QC数据</w:t>
            </w:r>
          </w:p>
        </w:tc>
      </w:tr>
    </w:tbl>
    <w:p>
      <w:pPr>
        <w:pStyle w:val="Heading2"/>
      </w:pPr>
      <w:r>
        <w:t>评委技术问答</w:t>
      </w:r>
    </w:p>
    <w:p>
      <w:pPr>
        <w:pStyle w:val="Heading2"/>
      </w:pPr>
      <w:r>
        <w:t>问：为什么一库不只是电子台账？</w:t>
      </w:r>
    </w:p>
    <w:p>
      <w:r>
        <w:t>答：一房一档关联关键部件、维修、评价与空间信息，为风险计算和情景演练提供可追溯输入。</w:t>
      </w:r>
    </w:p>
    <w:p>
      <w:pPr>
        <w:pStyle w:val="Heading2"/>
      </w:pPr>
      <w:r>
        <w:t>问：AHP权重是否可靠？</w:t>
      </w:r>
    </w:p>
    <w:p>
      <w:r>
        <w:t>答：专家赋权须记录权重来源及一致性检验，健康分还取决于部件现场状态、管护、评价与寿命信息。</w:t>
      </w:r>
    </w:p>
    <w:p>
      <w:pPr>
        <w:pStyle w:val="Heading2"/>
      </w:pPr>
      <w:r>
        <w:t>问：如何理解剩余寿命？</w:t>
      </w:r>
    </w:p>
    <w:p>
      <w:r>
        <w:t>答：属于依据年限与状态的估算，不等于某日精确故障预报；P8与P9的两种计算表述需由研发澄清。</w:t>
      </w:r>
    </w:p>
    <w:p>
      <w:pPr>
        <w:pStyle w:val="Heading2"/>
      </w:pPr>
      <w:r>
        <w:t>问：18清查项和12参数如何对应？</w:t>
      </w:r>
    </w:p>
    <w:p>
      <w:r>
        <w:t>答：前者是现场清查范围，后者是当前模型图计算参数；应提供字段映射，不能自行推断完全相等。</w:t>
      </w:r>
    </w:p>
    <w:p>
      <w:pPr>
        <w:pStyle w:val="Heading2"/>
      </w:pPr>
      <w:r>
        <w:t>问：为什么选址要用三个算法？</w:t>
      </w:r>
    </w:p>
    <w:p>
      <w:r>
        <w:t>答：AHP表示专业权重、熵权补充数据差异、TOPSIS排序候选点；排序要接受现场踏勘与审批约束。</w:t>
      </w:r>
    </w:p>
    <w:p>
      <w:pPr>
        <w:pStyle w:val="Heading2"/>
      </w:pPr>
      <w:r>
        <w:t>问：两模创新为何成立？</w:t>
      </w:r>
    </w:p>
    <w:p>
      <w:r>
        <w:t>答：健康改变存量有效烤能，存量有效烤能决定新建需求；维修与投资因此可以在同一套指标链上协同。</w:t>
      </w:r>
    </w:p>
    <w:p>
      <w:pPr>
        <w:pStyle w:val="Heading2"/>
      </w:pPr>
      <w:r>
        <w:t>问：为什么能够长期运行？</w:t>
      </w:r>
    </w:p>
    <w:p>
      <w:r>
        <w:t>答：四支队伍承担抢修、调制、巡检和验收，制度与基金保证流程，维修结果回写健康档案，支持长期迭代。</w:t>
      </w:r>
    </w:p>
    <w:p>
      <w:pPr>
        <w:pStyle w:val="Heading2"/>
      </w:pPr>
      <w:r>
        <w:t>问：什么是可以复核的试点成效？</w:t>
      </w:r>
    </w:p>
    <w:p>
      <w:r>
        <w:t>答：2442建档、340+低分预警、48调剂、18报修、16条工单平均响应0.38h、531问卷96.8%、1363/1672管护约81%、基金总额近190万。</w:t>
      </w:r>
    </w:p>
    <w:p>
      <w:r>
        <w:t>QC项目自身的维护40→17.9分钟、节约金额等数据属于独立QC研究，不移作《智烤管家》成果。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