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V4修改对照：9.30原稿优点如何保留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9.30初稿要点</w:t>
            </w:r>
          </w:p>
        </w:tc>
        <w:tc>
          <w:tcPr>
            <w:tcW w:type="dxa" w:w="2880"/>
          </w:tcPr>
          <w:p>
            <w:r>
              <w:t>V4处理</w:t>
            </w:r>
          </w:p>
        </w:tc>
        <w:tc>
          <w:tcPr>
            <w:tcW w:type="dxa" w:w="2880"/>
          </w:tcPr>
          <w:p>
            <w:r>
              <w:t>理由/证据</w:t>
            </w:r>
          </w:p>
        </w:tc>
      </w:tr>
      <w:tr>
        <w:tc>
          <w:tcPr>
            <w:tcW w:type="dxa" w:w="2880"/>
          </w:tcPr>
          <w:p>
            <w:r>
              <w:t>匠心工坊、一年的收成</w:t>
            </w:r>
          </w:p>
        </w:tc>
        <w:tc>
          <w:tcPr>
            <w:tcW w:type="dxa" w:w="2880"/>
          </w:tcPr>
          <w:p>
            <w:r>
              <w:t>保留，P3用烟农三愁起势</w:t>
            </w:r>
          </w:p>
        </w:tc>
        <w:tc>
          <w:tcPr>
            <w:tcW w:type="dxa" w:w="2880"/>
          </w:tcPr>
          <w:p>
            <w:r>
              <w:t>让非烟叶评委先看到人，再看到技术</w:t>
            </w:r>
          </w:p>
        </w:tc>
      </w:tr>
      <w:tr>
        <w:tc>
          <w:tcPr>
            <w:tcW w:type="dxa" w:w="2880"/>
          </w:tcPr>
          <w:p>
            <w:r>
              <w:t>资源无统筹、投入无量化、管护无闭环</w:t>
            </w:r>
          </w:p>
        </w:tc>
        <w:tc>
          <w:tcPr>
            <w:tcW w:type="dxa" w:w="2880"/>
          </w:tcPr>
          <w:p>
            <w:r>
              <w:t>基本保留于P4</w:t>
            </w:r>
          </w:p>
        </w:tc>
        <w:tc>
          <w:tcPr>
            <w:tcW w:type="dxa" w:w="2880"/>
          </w:tcPr>
          <w:p>
            <w:r>
              <w:t>原稿最有力的行业问题概括</w:t>
            </w:r>
          </w:p>
        </w:tc>
      </w:tr>
      <w:tr>
        <w:tc>
          <w:tcPr>
            <w:tcW w:type="dxa" w:w="2880"/>
          </w:tcPr>
          <w:p>
            <w:r>
              <w:t>四大部位、18个零部件</w:t>
            </w:r>
          </w:p>
        </w:tc>
        <w:tc>
          <w:tcPr>
            <w:tcW w:type="dxa" w:w="2880"/>
          </w:tcPr>
          <w:p>
            <w:r>
              <w:t>保留现场清查18项，算法另有12个参数</w:t>
            </w:r>
          </w:p>
        </w:tc>
        <w:tc>
          <w:tcPr>
            <w:tcW w:type="dxa" w:w="2880"/>
          </w:tcPr>
          <w:p>
            <w:r>
              <w:t>避免不同计算口径混用</w:t>
            </w:r>
          </w:p>
        </w:tc>
      </w:tr>
      <w:tr>
        <w:tc>
          <w:tcPr>
            <w:tcW w:type="dxa" w:w="2880"/>
          </w:tcPr>
          <w:p>
            <w:r>
              <w:t>部件80%＋管护10%＋评价10%</w:t>
            </w:r>
          </w:p>
        </w:tc>
        <w:tc>
          <w:tcPr>
            <w:tcW w:type="dxa" w:w="2880"/>
          </w:tcPr>
          <w:p>
            <w:r>
              <w:t>恢复到P8—P9口播</w:t>
            </w:r>
          </w:p>
        </w:tc>
        <w:tc>
          <w:tcPr>
            <w:tcW w:type="dxa" w:w="2880"/>
          </w:tcPr>
          <w:p>
            <w:r>
              <w:t>健康分技术不能被“AI体检”一句带过</w:t>
            </w:r>
          </w:p>
        </w:tc>
      </w:tr>
      <w:tr>
        <w:tc>
          <w:tcPr>
            <w:tcW w:type="dxa" w:w="2880"/>
          </w:tcPr>
          <w:p>
            <w:r>
              <w:t>模型2熵权与TOPSIS</w:t>
            </w:r>
          </w:p>
        </w:tc>
        <w:tc>
          <w:tcPr>
            <w:tcW w:type="dxa" w:w="2880"/>
          </w:tcPr>
          <w:p>
            <w:r>
              <w:t>补充数需评推、有效烤能Q、理论需求D、AHP组合赋权和沙盘</w:t>
            </w:r>
          </w:p>
        </w:tc>
        <w:tc>
          <w:tcPr>
            <w:tcW w:type="dxa" w:w="2880"/>
          </w:tcPr>
          <w:p>
            <w:r>
              <w:t>让方法解释形成投入决策的逻辑链</w:t>
            </w:r>
          </w:p>
        </w:tc>
      </w:tr>
      <w:tr>
        <w:tc>
          <w:tcPr>
            <w:tcW w:type="dxa" w:w="2880"/>
          </w:tcPr>
          <w:p>
            <w:r>
              <w:t>150栋维修已完成、肖家坪7栋已新建</w:t>
            </w:r>
          </w:p>
        </w:tc>
        <w:tc>
          <w:tcPr>
            <w:tcW w:type="dxa" w:w="2880"/>
          </w:tcPr>
          <w:p>
            <w:r>
              <w:t>列待核，不进主稿的完成性结果</w:t>
            </w:r>
          </w:p>
        </w:tc>
        <w:tc>
          <w:tcPr>
            <w:tcW w:type="dxa" w:w="2880"/>
          </w:tcPr>
          <w:p>
            <w:r>
              <w:t>避免把计划写成正式验收</w:t>
            </w:r>
          </w:p>
        </w:tc>
      </w:tr>
      <w:tr>
        <w:tc>
          <w:tcPr>
            <w:tcW w:type="dxa" w:w="2880"/>
          </w:tcPr>
          <w:p>
            <w:r>
              <w:t>磨坪雷击案例和12478张影像</w:t>
            </w:r>
          </w:p>
        </w:tc>
        <w:tc>
          <w:tcPr>
            <w:tcW w:type="dxa" w:w="2880"/>
          </w:tcPr>
          <w:p>
            <w:r>
              <w:t>保留为可补证的答辩案例，不直接报数字</w:t>
            </w:r>
          </w:p>
        </w:tc>
        <w:tc>
          <w:tcPr>
            <w:tcW w:type="dxa" w:w="2880"/>
          </w:tcPr>
          <w:p>
            <w:r>
              <w:t>需与官方台账逐项核对</w:t>
            </w:r>
          </w:p>
        </w:tc>
      </w:tr>
      <w:tr>
        <w:tc>
          <w:tcPr>
            <w:tcW w:type="dxa" w:w="2880"/>
          </w:tcPr>
          <w:p>
            <w:r>
              <w:t>综合满意度95.8%</w:t>
            </w:r>
          </w:p>
        </w:tc>
        <w:tc>
          <w:tcPr>
            <w:tcW w:type="dxa" w:w="2880"/>
          </w:tcPr>
          <w:p>
            <w:r>
              <w:t>采用531份问卷96.8%</w:t>
            </w:r>
          </w:p>
        </w:tc>
        <w:tc>
          <w:tcPr>
            <w:tcW w:type="dxa" w:w="2880"/>
          </w:tcPr>
          <w:p>
            <w:r>
              <w:t>以官方成果报告为准</w:t>
            </w:r>
          </w:p>
        </w:tc>
      </w:tr>
      <w:tr>
        <w:tc>
          <w:tcPr>
            <w:tcW w:type="dxa" w:w="2880"/>
          </w:tcPr>
          <w:p>
            <w:r>
              <w:t>0.5小时响应</w:t>
            </w:r>
          </w:p>
        </w:tc>
        <w:tc>
          <w:tcPr>
            <w:tcW w:type="dxa" w:w="2880"/>
          </w:tcPr>
          <w:p>
            <w:r>
              <w:t>采用16条工单0.38小时</w:t>
            </w:r>
          </w:p>
        </w:tc>
        <w:tc>
          <w:tcPr>
            <w:tcW w:type="dxa" w:w="2880"/>
          </w:tcPr>
          <w:p>
            <w:r>
              <w:t>区分样本与响应指标</w:t>
            </w:r>
          </w:p>
        </w:tc>
      </w:tr>
      <w:tr>
        <w:tc>
          <w:tcPr>
            <w:tcW w:type="dxa" w:w="2880"/>
          </w:tcPr>
          <w:p>
            <w:r>
              <w:t>四队、产权公有、专业管护、有偿服务、基金</w:t>
            </w:r>
          </w:p>
        </w:tc>
        <w:tc>
          <w:tcPr>
            <w:tcW w:type="dxa" w:w="2880"/>
          </w:tcPr>
          <w:p>
            <w:r>
              <w:t>保留；补充四队职责</w:t>
            </w:r>
          </w:p>
        </w:tc>
        <w:tc>
          <w:tcPr>
            <w:tcW w:type="dxa" w:w="2880"/>
          </w:tcPr>
          <w:p>
            <w:r>
              <w:t>工程落地与组织创新都不可少</w:t>
            </w:r>
          </w:p>
        </w:tc>
      </w:tr>
      <w:tr>
        <w:tc>
          <w:tcPr>
            <w:tcW w:type="dxa" w:w="2880"/>
          </w:tcPr>
          <w:p>
            <w:r>
              <w:t>基金年底结余100万元</w:t>
            </w:r>
          </w:p>
        </w:tc>
        <w:tc>
          <w:tcPr>
            <w:tcW w:type="dxa" w:w="2880"/>
          </w:tcPr>
          <w:p>
            <w:r>
              <w:t>采用近190万“总额”</w:t>
            </w:r>
          </w:p>
        </w:tc>
        <w:tc>
          <w:tcPr>
            <w:tcW w:type="dxa" w:w="2880"/>
          </w:tcPr>
          <w:p>
            <w:r>
              <w:t>不能把预计余额与基金总额混同</w:t>
            </w:r>
          </w:p>
        </w:tc>
      </w:tr>
      <w:tr>
        <w:tc>
          <w:tcPr>
            <w:tcW w:type="dxa" w:w="2880"/>
          </w:tcPr>
          <w:p>
            <w:r>
              <w:t>纵向推广全市、横向育苗棚</w:t>
            </w:r>
          </w:p>
        </w:tc>
        <w:tc>
          <w:tcPr>
            <w:tcW w:type="dxa" w:w="2880"/>
          </w:tcPr>
          <w:p>
            <w:r>
              <w:t>保留愿景，措辞改为先校准后推广</w:t>
            </w:r>
          </w:p>
        </w:tc>
        <w:tc>
          <w:tcPr>
            <w:tcW w:type="dxa" w:w="2880"/>
          </w:tcPr>
          <w:p>
            <w:r>
              <w:t>秭归一个烤季试点不等于全市完成</w:t>
            </w:r>
          </w:p>
        </w:tc>
      </w:tr>
    </w:tbl>
    <w:p>
      <w:pPr>
        <w:pStyle w:val="Heading2"/>
      </w:pPr>
      <w:r>
        <w:t>答辩中的三个重点技术追问</w:t>
      </w:r>
    </w:p>
    <w:p>
      <w:pPr/>
      <w:r>
        <w:t>问：18项清查、12项模型参数是否冲突？答：分别属于现场清查与算法计算层级，需要提供字段映射；当前PPT没有给出完整映射，不能直接等同。</w:t>
      </w:r>
    </w:p>
    <w:p>
      <w:pPr/>
      <w:r>
        <w:t>问：PPT第8页与第9页寿命估算究竟用什么方法？答：第8页给出状态/短板/加权合成，第9页提及Weibull拟合，现场前应由研发组确定最终实施方法与参数样本，避免双版本并存。</w:t>
      </w:r>
    </w:p>
    <w:p>
      <w:pPr/>
      <w:r>
        <w:t>问：推广到兴山、五峰需要什么？答：应先完成资产字段、部件映射、村级理论烤能、合作社队伍及基金机制的本地校准，不能只拷贝一套后台。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