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微软雅黑" w:hAnsi="微软雅黑" w:eastAsia="微软雅黑"/>
          <w:b/>
          <w:color w:val="183C5B"/>
          <w:sz w:val="40"/>
        </w:rPr>
        <w:t>智烤管家</w:t>
      </w:r>
    </w:p>
    <w:p>
      <w:pPr>
        <w:spacing w:after="280"/>
        <w:jc w:val="center"/>
      </w:pPr>
      <w:r>
        <w:rPr>
          <w:rFonts w:ascii="等线" w:hAnsi="等线" w:eastAsia="等线"/>
          <w:b w:val="0"/>
          <w:color w:val="536375"/>
          <w:sz w:val="18"/>
        </w:rPr>
        <w:t>1022 v2 · 修改意见逐项汇总｜董、陈、轴、零散建议与9.30稿</w:t>
      </w:r>
    </w:p>
    <w:p>
      <w:pPr>
        <w:spacing w:after="140"/>
      </w:pPr>
      <w:r>
        <w:rPr>
          <w:rFonts w:ascii="等线" w:hAnsi="等线" w:eastAsia="等线"/>
          <w:b w:val="0"/>
          <w:color w:val="536375"/>
          <w:sz w:val="18"/>
        </w:rPr>
        <w:t>核对依据：仓库1022/下7份docx正文（包括思路、10.20底稿及三份修改意见）；大赛要求为旧式.doc，本轮未完成格式解析，详见文末核验清单。</w:t>
      </w:r>
    </w:p>
    <w:p>
      <w:pPr>
        <w:spacing w:before="140" w:after="100"/>
      </w:pPr>
      <w:r>
        <w:rPr>
          <w:rFonts w:ascii="等线" w:hAnsi="等线" w:eastAsia="等线"/>
          <w:b/>
          <w:color w:val="1A629B"/>
          <w:sz w:val="24"/>
        </w:rPr>
        <w:t>总体框架</w:t>
      </w:r>
    </w:p>
    <w:p>
      <w:pPr>
        <w:spacing w:line="331" w:lineRule="auto" w:after="80"/>
        <w:ind w:firstLine="420"/>
      </w:pPr>
      <w:r>
        <w:rPr>
          <w:rFonts w:ascii="等线" w:hAnsi="等线" w:eastAsia="等线"/>
          <w:b w:val="0"/>
          <w:sz w:val="21"/>
        </w:rPr>
      </w:r>
      <w:r>
        <w:rPr>
          <w:rFonts w:ascii="等线" w:hAnsi="等线" w:eastAsia="等线"/>
          <w:b/>
          <w:color w:val="1A629B"/>
          <w:sz w:val="21"/>
        </w:rPr>
        <w:t>原稿/意见：</w:t>
      </w:r>
      <w:r>
        <w:rPr>
          <w:rFonts w:ascii="等线" w:hAnsi="等线" w:eastAsia="等线"/>
          <w:b w:val="0"/>
          <w:sz w:val="21"/>
        </w:rPr>
        <w:t>10.20底稿开头使用“1234”，董稿改成“123”但正文仍留“4队长效”</w:t>
      </w:r>
    </w:p>
    <w:p>
      <w:pPr>
        <w:spacing w:line="331" w:lineRule="auto" w:after="80"/>
        <w:ind w:firstLine="420"/>
      </w:pPr>
      <w:r>
        <w:rPr>
          <w:rFonts w:ascii="等线" w:hAnsi="等线" w:eastAsia="等线"/>
          <w:b w:val="0"/>
          <w:sz w:val="21"/>
        </w:rPr>
      </w:r>
      <w:r>
        <w:rPr>
          <w:rFonts w:ascii="等线" w:hAnsi="等线" w:eastAsia="等线"/>
          <w:b/>
          <w:color w:val="1A629B"/>
          <w:sz w:val="21"/>
        </w:rPr>
        <w:t>统一修改：</w:t>
      </w:r>
      <w:r>
        <w:rPr>
          <w:rFonts w:ascii="等线" w:hAnsi="等线" w:eastAsia="等线"/>
          <w:b w:val="0"/>
          <w:sz w:val="21"/>
        </w:rPr>
        <w:t>统一为采数（1库）→析数（2模）→用数（3智）；四支服务队只放进智管</w:t>
      </w:r>
    </w:p>
    <w:p>
      <w:pPr>
        <w:spacing w:line="331" w:lineRule="auto" w:after="80"/>
        <w:ind w:firstLine="420"/>
      </w:pPr>
      <w:r>
        <w:rPr>
          <w:rFonts w:ascii="等线" w:hAnsi="等线" w:eastAsia="等线"/>
          <w:b w:val="0"/>
          <w:sz w:val="21"/>
        </w:rPr>
      </w:r>
      <w:r>
        <w:rPr>
          <w:rFonts w:ascii="等线" w:hAnsi="等线" w:eastAsia="等线"/>
          <w:b/>
          <w:color w:val="1A629B"/>
          <w:sz w:val="21"/>
        </w:rPr>
        <w:t>原因：</w:t>
      </w:r>
      <w:r>
        <w:rPr>
          <w:rFonts w:ascii="等线" w:hAnsi="等线" w:eastAsia="等线"/>
          <w:b w:val="0"/>
          <w:sz w:val="21"/>
        </w:rPr>
        <w:t>不再让“123/1234”两套结构竞争记忆点</w:t>
      </w:r>
    </w:p>
    <w:p>
      <w:pPr>
        <w:spacing w:before="140" w:after="100"/>
      </w:pPr>
      <w:r>
        <w:rPr>
          <w:rFonts w:ascii="等线" w:hAnsi="等线" w:eastAsia="等线"/>
          <w:b/>
          <w:color w:val="1A629B"/>
          <w:sz w:val="24"/>
        </w:rPr>
        <w:t>痛点开场</w:t>
      </w:r>
    </w:p>
    <w:p>
      <w:pPr>
        <w:spacing w:line="331" w:lineRule="auto" w:after="80"/>
        <w:ind w:firstLine="420"/>
      </w:pPr>
      <w:r>
        <w:rPr>
          <w:rFonts w:ascii="等线" w:hAnsi="等线" w:eastAsia="等线"/>
          <w:b w:val="0"/>
          <w:sz w:val="21"/>
        </w:rPr>
      </w:r>
      <w:r>
        <w:rPr>
          <w:rFonts w:ascii="等线" w:hAnsi="等线" w:eastAsia="等线"/>
          <w:b/>
          <w:color w:val="1A629B"/>
          <w:sz w:val="21"/>
        </w:rPr>
        <w:t>原稿/意见：</w:t>
      </w:r>
      <w:r>
        <w:rPr>
          <w:rFonts w:ascii="等线" w:hAnsi="等线" w:eastAsia="等线"/>
          <w:b w:val="0"/>
          <w:sz w:val="21"/>
        </w:rPr>
        <w:t>底稿提及“三大愁”，思维导图提出“调不动、修不快、投不准”三个日常画面</w:t>
      </w:r>
    </w:p>
    <w:p>
      <w:pPr>
        <w:spacing w:line="331" w:lineRule="auto" w:after="80"/>
        <w:ind w:firstLine="420"/>
      </w:pPr>
      <w:r>
        <w:rPr>
          <w:rFonts w:ascii="等线" w:hAnsi="等线" w:eastAsia="等线"/>
          <w:b w:val="0"/>
          <w:sz w:val="21"/>
        </w:rPr>
      </w:r>
      <w:r>
        <w:rPr>
          <w:rFonts w:ascii="等线" w:hAnsi="等线" w:eastAsia="等线"/>
          <w:b/>
          <w:color w:val="1A629B"/>
          <w:sz w:val="21"/>
        </w:rPr>
        <w:t>统一修改：</w:t>
      </w:r>
      <w:r>
        <w:rPr>
          <w:rFonts w:ascii="等线" w:hAnsi="等线" w:eastAsia="等线"/>
          <w:b w:val="0"/>
          <w:sz w:val="21"/>
        </w:rPr>
        <w:t>用烟农、合作社、管理部门三种视角，各用一句现实场景引出问题</w:t>
      </w:r>
    </w:p>
    <w:p>
      <w:pPr>
        <w:spacing w:line="331" w:lineRule="auto" w:after="80"/>
        <w:ind w:firstLine="420"/>
      </w:pPr>
      <w:r>
        <w:rPr>
          <w:rFonts w:ascii="等线" w:hAnsi="等线" w:eastAsia="等线"/>
          <w:b w:val="0"/>
          <w:sz w:val="21"/>
        </w:rPr>
      </w:r>
      <w:r>
        <w:rPr>
          <w:rFonts w:ascii="等线" w:hAnsi="等线" w:eastAsia="等线"/>
          <w:b/>
          <w:color w:val="1A629B"/>
          <w:sz w:val="21"/>
        </w:rPr>
        <w:t>原因：</w:t>
      </w:r>
      <w:r>
        <w:rPr>
          <w:rFonts w:ascii="等线" w:hAnsi="等线" w:eastAsia="等线"/>
          <w:b w:val="0"/>
          <w:sz w:val="21"/>
        </w:rPr>
        <w:t>评委不懂烟叶也能理解资源错配与管理成本</w:t>
      </w:r>
    </w:p>
    <w:p>
      <w:pPr>
        <w:spacing w:before="140" w:after="100"/>
      </w:pPr>
      <w:r>
        <w:rPr>
          <w:rFonts w:ascii="等线" w:hAnsi="等线" w:eastAsia="等线"/>
          <w:b/>
          <w:color w:val="1A629B"/>
          <w:sz w:val="24"/>
        </w:rPr>
        <w:t>低代码采数</w:t>
      </w:r>
    </w:p>
    <w:p>
      <w:pPr>
        <w:spacing w:line="331" w:lineRule="auto" w:after="80"/>
        <w:ind w:firstLine="420"/>
      </w:pPr>
      <w:r>
        <w:rPr>
          <w:rFonts w:ascii="等线" w:hAnsi="等线" w:eastAsia="等线"/>
          <w:b w:val="0"/>
          <w:sz w:val="21"/>
        </w:rPr>
      </w:r>
      <w:r>
        <w:rPr>
          <w:rFonts w:ascii="等线" w:hAnsi="等线" w:eastAsia="等线"/>
          <w:b/>
          <w:color w:val="1A629B"/>
          <w:sz w:val="21"/>
        </w:rPr>
        <w:t>原稿/意见：</w:t>
      </w:r>
      <w:r>
        <w:rPr>
          <w:rFonts w:ascii="等线" w:hAnsi="等线" w:eastAsia="等线"/>
          <w:b w:val="0"/>
          <w:sz w:val="21"/>
        </w:rPr>
        <w:t>10.20原稿：拍照留痕、GPS定位、表单录入、标准核验，内容略偏功能罗列</w:t>
      </w:r>
    </w:p>
    <w:p>
      <w:pPr>
        <w:spacing w:line="331" w:lineRule="auto" w:after="80"/>
        <w:ind w:firstLine="420"/>
      </w:pPr>
      <w:r>
        <w:rPr>
          <w:rFonts w:ascii="等线" w:hAnsi="等线" w:eastAsia="等线"/>
          <w:b w:val="0"/>
          <w:sz w:val="21"/>
        </w:rPr>
      </w:r>
      <w:r>
        <w:rPr>
          <w:rFonts w:ascii="等线" w:hAnsi="等线" w:eastAsia="等线"/>
          <w:b/>
          <w:color w:val="1A629B"/>
          <w:sz w:val="21"/>
        </w:rPr>
        <w:t>统一修改：</w:t>
      </w:r>
      <w:r>
        <w:rPr>
          <w:rFonts w:ascii="等线" w:hAnsi="等线" w:eastAsia="等线"/>
          <w:b w:val="0"/>
          <w:sz w:val="21"/>
        </w:rPr>
        <w:t>新增“扫码/搜编码后几位→自动带出旧档→核对拍照→状态标记→后续维修评价回写”</w:t>
      </w:r>
    </w:p>
    <w:p>
      <w:pPr>
        <w:spacing w:line="331" w:lineRule="auto" w:after="80"/>
        <w:ind w:firstLine="420"/>
      </w:pPr>
      <w:r>
        <w:rPr>
          <w:rFonts w:ascii="等线" w:hAnsi="等线" w:eastAsia="等线"/>
          <w:b w:val="0"/>
          <w:sz w:val="21"/>
        </w:rPr>
      </w:r>
      <w:r>
        <w:rPr>
          <w:rFonts w:ascii="等线" w:hAnsi="等线" w:eastAsia="等线"/>
          <w:b/>
          <w:color w:val="1A629B"/>
          <w:sz w:val="21"/>
        </w:rPr>
        <w:t>原因：</w:t>
      </w:r>
      <w:r>
        <w:rPr>
          <w:rFonts w:ascii="等线" w:hAnsi="等线" w:eastAsia="等线"/>
          <w:b w:val="0"/>
          <w:sz w:val="21"/>
        </w:rPr>
        <w:t>突出旧台账并非简单电子化，基层减负且数据持续可用</w:t>
      </w:r>
    </w:p>
    <w:p>
      <w:pPr>
        <w:spacing w:before="140" w:after="100"/>
      </w:pPr>
      <w:r>
        <w:rPr>
          <w:rFonts w:ascii="等线" w:hAnsi="等线" w:eastAsia="等线"/>
          <w:b/>
          <w:color w:val="1A629B"/>
          <w:sz w:val="24"/>
        </w:rPr>
        <w:t>健康评估模型</w:t>
      </w:r>
    </w:p>
    <w:p>
      <w:pPr>
        <w:spacing w:line="331" w:lineRule="auto" w:after="80"/>
        <w:ind w:firstLine="420"/>
      </w:pPr>
      <w:r>
        <w:rPr>
          <w:rFonts w:ascii="等线" w:hAnsi="等线" w:eastAsia="等线"/>
          <w:b w:val="0"/>
          <w:sz w:val="21"/>
        </w:rPr>
      </w:r>
      <w:r>
        <w:rPr>
          <w:rFonts w:ascii="等线" w:hAnsi="等线" w:eastAsia="等线"/>
          <w:b/>
          <w:color w:val="1A629B"/>
          <w:sz w:val="21"/>
        </w:rPr>
        <w:t>原稿/意见：</w:t>
      </w:r>
      <w:r>
        <w:rPr>
          <w:rFonts w:ascii="等线" w:hAnsi="等线" w:eastAsia="等线"/>
          <w:b w:val="0"/>
          <w:sz w:val="21"/>
        </w:rPr>
        <w:t>10.20底稿已经明确“输入—计算—输出”，9.30稿给出了AHP及60分预警</w:t>
      </w:r>
    </w:p>
    <w:p>
      <w:pPr>
        <w:spacing w:line="331" w:lineRule="auto" w:after="80"/>
        <w:ind w:firstLine="420"/>
      </w:pPr>
      <w:r>
        <w:rPr>
          <w:rFonts w:ascii="等线" w:hAnsi="等线" w:eastAsia="等线"/>
          <w:b w:val="0"/>
          <w:sz w:val="21"/>
        </w:rPr>
      </w:r>
      <w:r>
        <w:rPr>
          <w:rFonts w:ascii="等线" w:hAnsi="等线" w:eastAsia="等线"/>
          <w:b/>
          <w:color w:val="1A629B"/>
          <w:sz w:val="21"/>
        </w:rPr>
        <w:t>统一修改：</w:t>
      </w:r>
      <w:r>
        <w:rPr>
          <w:rFonts w:ascii="等线" w:hAnsi="等线" w:eastAsia="等线"/>
          <w:b w:val="0"/>
          <w:sz w:val="21"/>
        </w:rPr>
        <w:t>保留三步，保留AHP、威布尔分布、剩余寿命、风险部位TOP3，算法后增加一句解释</w:t>
      </w:r>
    </w:p>
    <w:p>
      <w:pPr>
        <w:spacing w:line="331" w:lineRule="auto" w:after="80"/>
        <w:ind w:firstLine="420"/>
      </w:pPr>
      <w:r>
        <w:rPr>
          <w:rFonts w:ascii="等线" w:hAnsi="等线" w:eastAsia="等线"/>
          <w:b w:val="0"/>
          <w:sz w:val="21"/>
        </w:rPr>
      </w:r>
      <w:r>
        <w:rPr>
          <w:rFonts w:ascii="等线" w:hAnsi="等线" w:eastAsia="等线"/>
          <w:b/>
          <w:color w:val="1A629B"/>
          <w:sz w:val="21"/>
        </w:rPr>
        <w:t>原因：</w:t>
      </w:r>
      <w:r>
        <w:rPr>
          <w:rFonts w:ascii="等线" w:hAnsi="等线" w:eastAsia="等线"/>
          <w:b w:val="0"/>
          <w:sz w:val="21"/>
        </w:rPr>
        <w:t>兼顾信息中心评委的技术关注点与现场听懂度</w:t>
      </w:r>
    </w:p>
    <w:p>
      <w:pPr>
        <w:spacing w:before="140" w:after="100"/>
      </w:pPr>
      <w:r>
        <w:rPr>
          <w:rFonts w:ascii="等线" w:hAnsi="等线" w:eastAsia="等线"/>
          <w:b/>
          <w:color w:val="1A629B"/>
          <w:sz w:val="24"/>
        </w:rPr>
        <w:t>千亩村模型</w:t>
      </w:r>
    </w:p>
    <w:p>
      <w:pPr>
        <w:spacing w:line="331" w:lineRule="auto" w:after="80"/>
        <w:ind w:firstLine="420"/>
      </w:pPr>
      <w:r>
        <w:rPr>
          <w:rFonts w:ascii="等线" w:hAnsi="等线" w:eastAsia="等线"/>
          <w:b w:val="0"/>
          <w:sz w:val="21"/>
        </w:rPr>
      </w:r>
      <w:r>
        <w:rPr>
          <w:rFonts w:ascii="等线" w:hAnsi="等线" w:eastAsia="等线"/>
          <w:b/>
          <w:color w:val="1A629B"/>
          <w:sz w:val="21"/>
        </w:rPr>
        <w:t>原稿/意见：</w:t>
      </w:r>
      <w:r>
        <w:rPr>
          <w:rFonts w:ascii="等线" w:hAnsi="等线" w:eastAsia="等线"/>
          <w:b w:val="0"/>
          <w:sz w:val="21"/>
        </w:rPr>
        <w:t>10.20底稿有“数、需、评、推”，但术语过密</w:t>
      </w:r>
    </w:p>
    <w:p>
      <w:pPr>
        <w:spacing w:line="331" w:lineRule="auto" w:after="80"/>
        <w:ind w:firstLine="420"/>
      </w:pPr>
      <w:r>
        <w:rPr>
          <w:rFonts w:ascii="等线" w:hAnsi="等线" w:eastAsia="等线"/>
          <w:b w:val="0"/>
          <w:sz w:val="21"/>
        </w:rPr>
      </w:r>
      <w:r>
        <w:rPr>
          <w:rFonts w:ascii="等线" w:hAnsi="等线" w:eastAsia="等线"/>
          <w:b/>
          <w:color w:val="1A629B"/>
          <w:sz w:val="21"/>
        </w:rPr>
        <w:t>统一修改：</w:t>
      </w:r>
      <w:r>
        <w:rPr>
          <w:rFonts w:ascii="等线" w:hAnsi="等线" w:eastAsia="等线"/>
          <w:b w:val="0"/>
          <w:sz w:val="21"/>
        </w:rPr>
        <w:t>四个动词逐项展开，保留Q/D、AHP+熵权法、TOPSIS和沙盘案例</w:t>
      </w:r>
    </w:p>
    <w:p>
      <w:pPr>
        <w:spacing w:line="331" w:lineRule="auto" w:after="80"/>
        <w:ind w:firstLine="420"/>
      </w:pPr>
      <w:r>
        <w:rPr>
          <w:rFonts w:ascii="等线" w:hAnsi="等线" w:eastAsia="等线"/>
          <w:b w:val="0"/>
          <w:sz w:val="21"/>
        </w:rPr>
      </w:r>
      <w:r>
        <w:rPr>
          <w:rFonts w:ascii="等线" w:hAnsi="等线" w:eastAsia="等线"/>
          <w:b/>
          <w:color w:val="1A629B"/>
          <w:sz w:val="21"/>
        </w:rPr>
        <w:t>原因：</w:t>
      </w:r>
      <w:r>
        <w:rPr>
          <w:rFonts w:ascii="等线" w:hAnsi="等线" w:eastAsia="等线"/>
          <w:b w:val="0"/>
          <w:sz w:val="21"/>
        </w:rPr>
        <w:t>把算法变成可展示的决策流程，强调“先存量再增量”</w:t>
      </w:r>
    </w:p>
    <w:p>
      <w:pPr>
        <w:spacing w:before="140" w:after="100"/>
      </w:pPr>
      <w:r>
        <w:rPr>
          <w:rFonts w:ascii="等线" w:hAnsi="等线" w:eastAsia="等线"/>
          <w:b/>
          <w:color w:val="1A629B"/>
          <w:sz w:val="24"/>
        </w:rPr>
        <w:t>采数→析数</w:t>
      </w:r>
    </w:p>
    <w:p>
      <w:pPr>
        <w:spacing w:line="331" w:lineRule="auto" w:after="80"/>
        <w:ind w:firstLine="420"/>
      </w:pPr>
      <w:r>
        <w:rPr>
          <w:rFonts w:ascii="等线" w:hAnsi="等线" w:eastAsia="等线"/>
          <w:b w:val="0"/>
          <w:sz w:val="21"/>
        </w:rPr>
      </w:r>
      <w:r>
        <w:rPr>
          <w:rFonts w:ascii="等线" w:hAnsi="等线" w:eastAsia="等线"/>
          <w:b/>
          <w:color w:val="1A629B"/>
          <w:sz w:val="21"/>
        </w:rPr>
        <w:t>原稿/意见：</w:t>
      </w:r>
      <w:r>
        <w:rPr>
          <w:rFonts w:ascii="等线" w:hAnsi="等线" w:eastAsia="等线"/>
          <w:b w:val="0"/>
          <w:sz w:val="21"/>
        </w:rPr>
        <w:t>陈稿与零散建议指出篇章衔接生硬</w:t>
      </w:r>
    </w:p>
    <w:p>
      <w:pPr>
        <w:spacing w:line="331" w:lineRule="auto" w:after="80"/>
        <w:ind w:firstLine="420"/>
      </w:pPr>
      <w:r>
        <w:rPr>
          <w:rFonts w:ascii="等线" w:hAnsi="等线" w:eastAsia="等线"/>
          <w:b w:val="0"/>
          <w:sz w:val="21"/>
        </w:rPr>
      </w:r>
      <w:r>
        <w:rPr>
          <w:rFonts w:ascii="等线" w:hAnsi="等线" w:eastAsia="等线"/>
          <w:b/>
          <w:color w:val="1A629B"/>
          <w:sz w:val="21"/>
        </w:rPr>
        <w:t>统一修改：</w:t>
      </w:r>
      <w:r>
        <w:rPr>
          <w:rFonts w:ascii="等线" w:hAnsi="等线" w:eastAsia="等线"/>
          <w:b w:val="0"/>
          <w:sz w:val="21"/>
        </w:rPr>
        <w:t>改为“有2442座档案了，但先修哪栋仍不能靠翻台账”</w:t>
      </w:r>
    </w:p>
    <w:p>
      <w:pPr>
        <w:spacing w:line="331" w:lineRule="auto" w:after="80"/>
        <w:ind w:firstLine="420"/>
      </w:pPr>
      <w:r>
        <w:rPr>
          <w:rFonts w:ascii="等线" w:hAnsi="等线" w:eastAsia="等线"/>
          <w:b w:val="0"/>
          <w:sz w:val="21"/>
        </w:rPr>
      </w:r>
      <w:r>
        <w:rPr>
          <w:rFonts w:ascii="等线" w:hAnsi="等线" w:eastAsia="等线"/>
          <w:b/>
          <w:color w:val="1A629B"/>
          <w:sz w:val="21"/>
        </w:rPr>
        <w:t>原因：</w:t>
      </w:r>
      <w:r>
        <w:rPr>
          <w:rFonts w:ascii="等线" w:hAnsi="等线" w:eastAsia="等线"/>
          <w:b w:val="0"/>
          <w:sz w:val="21"/>
        </w:rPr>
        <w:t>用一个未解决的问题自然唤起模型</w:t>
      </w:r>
    </w:p>
    <w:p>
      <w:pPr>
        <w:spacing w:before="140" w:after="100"/>
      </w:pPr>
      <w:r>
        <w:rPr>
          <w:rFonts w:ascii="等线" w:hAnsi="等线" w:eastAsia="等线"/>
          <w:b/>
          <w:color w:val="1A629B"/>
          <w:sz w:val="24"/>
        </w:rPr>
        <w:t>析数→用数</w:t>
      </w:r>
    </w:p>
    <w:p>
      <w:pPr>
        <w:spacing w:line="331" w:lineRule="auto" w:after="80"/>
        <w:ind w:firstLine="420"/>
      </w:pPr>
      <w:r>
        <w:rPr>
          <w:rFonts w:ascii="等线" w:hAnsi="等线" w:eastAsia="等线"/>
          <w:b w:val="0"/>
          <w:sz w:val="21"/>
        </w:rPr>
      </w:r>
      <w:r>
        <w:rPr>
          <w:rFonts w:ascii="等线" w:hAnsi="等线" w:eastAsia="等线"/>
          <w:b/>
          <w:color w:val="1A629B"/>
          <w:sz w:val="21"/>
        </w:rPr>
        <w:t>原稿/意见：</w:t>
      </w:r>
      <w:r>
        <w:rPr>
          <w:rFonts w:ascii="等线" w:hAnsi="等线" w:eastAsia="等线"/>
          <w:b w:val="0"/>
          <w:sz w:val="21"/>
        </w:rPr>
        <w:t>原稿“模型算得出，更要业务用得上”偏概念</w:t>
      </w:r>
    </w:p>
    <w:p>
      <w:pPr>
        <w:spacing w:line="331" w:lineRule="auto" w:after="80"/>
        <w:ind w:firstLine="420"/>
      </w:pPr>
      <w:r>
        <w:rPr>
          <w:rFonts w:ascii="等线" w:hAnsi="等线" w:eastAsia="等线"/>
          <w:b w:val="0"/>
          <w:sz w:val="21"/>
        </w:rPr>
      </w:r>
      <w:r>
        <w:rPr>
          <w:rFonts w:ascii="等线" w:hAnsi="等线" w:eastAsia="等线"/>
          <w:b/>
          <w:color w:val="1A629B"/>
          <w:sz w:val="21"/>
        </w:rPr>
        <w:t>统一修改：</w:t>
      </w:r>
      <w:r>
        <w:rPr>
          <w:rFonts w:ascii="等线" w:hAnsi="等线" w:eastAsia="等线"/>
          <w:b w:val="0"/>
          <w:sz w:val="21"/>
        </w:rPr>
        <w:t>改为“模型清单如果还躺在电脑里，仍解决不了烟农的难题”</w:t>
      </w:r>
    </w:p>
    <w:p>
      <w:pPr>
        <w:spacing w:line="331" w:lineRule="auto" w:after="80"/>
        <w:ind w:firstLine="420"/>
      </w:pPr>
      <w:r>
        <w:rPr>
          <w:rFonts w:ascii="等线" w:hAnsi="等线" w:eastAsia="等线"/>
          <w:b w:val="0"/>
          <w:sz w:val="21"/>
        </w:rPr>
      </w:r>
      <w:r>
        <w:rPr>
          <w:rFonts w:ascii="等线" w:hAnsi="等线" w:eastAsia="等线"/>
          <w:b/>
          <w:color w:val="1A629B"/>
          <w:sz w:val="21"/>
        </w:rPr>
        <w:t>原因：</w:t>
      </w:r>
      <w:r>
        <w:rPr>
          <w:rFonts w:ascii="等线" w:hAnsi="等线" w:eastAsia="等线"/>
          <w:b w:val="0"/>
          <w:sz w:val="21"/>
        </w:rPr>
        <w:t>从技术成果顺接实际业务动作</w:t>
      </w:r>
    </w:p>
    <w:p>
      <w:pPr>
        <w:spacing w:before="140" w:after="100"/>
      </w:pPr>
      <w:r>
        <w:rPr>
          <w:rFonts w:ascii="等线" w:hAnsi="等线" w:eastAsia="等线"/>
          <w:b/>
          <w:color w:val="1A629B"/>
          <w:sz w:val="24"/>
        </w:rPr>
        <w:t>智用</w:t>
      </w:r>
    </w:p>
    <w:p>
      <w:pPr>
        <w:spacing w:line="331" w:lineRule="auto" w:after="80"/>
        <w:ind w:firstLine="420"/>
      </w:pPr>
      <w:r>
        <w:rPr>
          <w:rFonts w:ascii="等线" w:hAnsi="等线" w:eastAsia="等线"/>
          <w:b w:val="0"/>
          <w:sz w:val="21"/>
        </w:rPr>
      </w:r>
      <w:r>
        <w:rPr>
          <w:rFonts w:ascii="等线" w:hAnsi="等线" w:eastAsia="等线"/>
          <w:b/>
          <w:color w:val="1A629B"/>
          <w:sz w:val="21"/>
        </w:rPr>
        <w:t>原稿/意见：</w:t>
      </w:r>
      <w:r>
        <w:rPr>
          <w:rFonts w:ascii="等线" w:hAnsi="等线" w:eastAsia="等线"/>
          <w:b w:val="0"/>
          <w:sz w:val="21"/>
        </w:rPr>
        <w:t>思维导图补充种植档案、烘烤记录、空闲时段/距离/健康分推荐、报修进度和烤后评价</w:t>
      </w:r>
    </w:p>
    <w:p>
      <w:pPr>
        <w:spacing w:line="331" w:lineRule="auto" w:after="80"/>
        <w:ind w:firstLine="420"/>
      </w:pPr>
      <w:r>
        <w:rPr>
          <w:rFonts w:ascii="等线" w:hAnsi="等线" w:eastAsia="等线"/>
          <w:b w:val="0"/>
          <w:sz w:val="21"/>
        </w:rPr>
      </w:r>
      <w:r>
        <w:rPr>
          <w:rFonts w:ascii="等线" w:hAnsi="等线" w:eastAsia="等线"/>
          <w:b/>
          <w:color w:val="1A629B"/>
          <w:sz w:val="21"/>
        </w:rPr>
        <w:t>统一修改：</w:t>
      </w:r>
      <w:r>
        <w:rPr>
          <w:rFonts w:ascii="等线" w:hAnsi="等线" w:eastAsia="等线"/>
          <w:b w:val="0"/>
          <w:sz w:val="21"/>
        </w:rPr>
        <w:t>用“找房—报修—评价”一条烟农手机使用路径串起新增功能</w:t>
      </w:r>
    </w:p>
    <w:p>
      <w:pPr>
        <w:spacing w:line="331" w:lineRule="auto" w:after="80"/>
        <w:ind w:firstLine="420"/>
      </w:pPr>
      <w:r>
        <w:rPr>
          <w:rFonts w:ascii="等线" w:hAnsi="等线" w:eastAsia="等线"/>
          <w:b w:val="0"/>
          <w:sz w:val="21"/>
        </w:rPr>
      </w:r>
      <w:r>
        <w:rPr>
          <w:rFonts w:ascii="等线" w:hAnsi="等线" w:eastAsia="等线"/>
          <w:b/>
          <w:color w:val="1A629B"/>
          <w:sz w:val="21"/>
        </w:rPr>
        <w:t>原因：</w:t>
      </w:r>
      <w:r>
        <w:rPr>
          <w:rFonts w:ascii="等线" w:hAnsi="等线" w:eastAsia="等线"/>
          <w:b w:val="0"/>
          <w:sz w:val="21"/>
        </w:rPr>
        <w:t>不堆功能菜单，有连贯使用场景</w:t>
      </w:r>
    </w:p>
    <w:p>
      <w:pPr>
        <w:spacing w:before="140" w:after="100"/>
      </w:pPr>
      <w:r>
        <w:rPr>
          <w:rFonts w:ascii="等线" w:hAnsi="等线" w:eastAsia="等线"/>
          <w:b/>
          <w:color w:val="1A629B"/>
          <w:sz w:val="24"/>
        </w:rPr>
        <w:t>智投</w:t>
      </w:r>
    </w:p>
    <w:p>
      <w:pPr>
        <w:spacing w:line="331" w:lineRule="auto" w:after="80"/>
        <w:ind w:firstLine="420"/>
      </w:pPr>
      <w:r>
        <w:rPr>
          <w:rFonts w:ascii="等线" w:hAnsi="等线" w:eastAsia="等线"/>
          <w:b w:val="0"/>
          <w:sz w:val="21"/>
        </w:rPr>
      </w:r>
      <w:r>
        <w:rPr>
          <w:rFonts w:ascii="等线" w:hAnsi="等线" w:eastAsia="等线"/>
          <w:b/>
          <w:color w:val="1A629B"/>
          <w:sz w:val="21"/>
        </w:rPr>
        <w:t>原稿/意见：</w:t>
      </w:r>
      <w:r>
        <w:rPr>
          <w:rFonts w:ascii="等线" w:hAnsi="等线" w:eastAsia="等线"/>
          <w:b w:val="0"/>
          <w:sz w:val="21"/>
        </w:rPr>
        <w:t>董意见希望把“修哪个部位、在哪里建、投入多少”讲明白；导图增加配件寿命与价格比较</w:t>
      </w:r>
    </w:p>
    <w:p>
      <w:pPr>
        <w:spacing w:line="331" w:lineRule="auto" w:after="80"/>
        <w:ind w:firstLine="420"/>
      </w:pPr>
      <w:r>
        <w:rPr>
          <w:rFonts w:ascii="等线" w:hAnsi="等线" w:eastAsia="等线"/>
          <w:b w:val="0"/>
          <w:sz w:val="21"/>
        </w:rPr>
      </w:r>
      <w:r>
        <w:rPr>
          <w:rFonts w:ascii="等线" w:hAnsi="等线" w:eastAsia="等线"/>
          <w:b/>
          <w:color w:val="1A629B"/>
          <w:sz w:val="21"/>
        </w:rPr>
        <w:t>统一修改：</w:t>
      </w:r>
      <w:r>
        <w:rPr>
          <w:rFonts w:ascii="等线" w:hAnsi="等线" w:eastAsia="等线"/>
          <w:b w:val="0"/>
          <w:sz w:val="21"/>
        </w:rPr>
        <w:t>分“维修资金比较”“新建地图沙盘”两组动作</w:t>
      </w:r>
    </w:p>
    <w:p>
      <w:pPr>
        <w:spacing w:line="331" w:lineRule="auto" w:after="80"/>
        <w:ind w:firstLine="420"/>
      </w:pPr>
      <w:r>
        <w:rPr>
          <w:rFonts w:ascii="等线" w:hAnsi="等线" w:eastAsia="等线"/>
          <w:b w:val="0"/>
          <w:sz w:val="21"/>
        </w:rPr>
      </w:r>
      <w:r>
        <w:rPr>
          <w:rFonts w:ascii="等线" w:hAnsi="等线" w:eastAsia="等线"/>
          <w:b/>
          <w:color w:val="1A629B"/>
          <w:sz w:val="21"/>
        </w:rPr>
        <w:t>原因：</w:t>
      </w:r>
      <w:r>
        <w:rPr>
          <w:rFonts w:ascii="等线" w:hAnsi="等线" w:eastAsia="等线"/>
          <w:b w:val="0"/>
          <w:sz w:val="21"/>
        </w:rPr>
        <w:t>评委能看到模型输出如何落到投入决策</w:t>
      </w:r>
    </w:p>
    <w:p>
      <w:pPr>
        <w:spacing w:before="140" w:after="100"/>
      </w:pPr>
      <w:r>
        <w:rPr>
          <w:rFonts w:ascii="等线" w:hAnsi="等线" w:eastAsia="等线"/>
          <w:b/>
          <w:color w:val="1A629B"/>
          <w:sz w:val="24"/>
        </w:rPr>
        <w:t>智管</w:t>
      </w:r>
    </w:p>
    <w:p>
      <w:pPr>
        <w:spacing w:line="331" w:lineRule="auto" w:after="80"/>
        <w:ind w:firstLine="420"/>
      </w:pPr>
      <w:r>
        <w:rPr>
          <w:rFonts w:ascii="等线" w:hAnsi="等线" w:eastAsia="等线"/>
          <w:b w:val="0"/>
          <w:sz w:val="21"/>
        </w:rPr>
      </w:r>
      <w:r>
        <w:rPr>
          <w:rFonts w:ascii="等线" w:hAnsi="等线" w:eastAsia="等线"/>
          <w:b/>
          <w:color w:val="1A629B"/>
          <w:sz w:val="21"/>
        </w:rPr>
        <w:t>原稿/意见：</w:t>
      </w:r>
      <w:r>
        <w:rPr>
          <w:rFonts w:ascii="等线" w:hAnsi="等线" w:eastAsia="等线"/>
          <w:b w:val="0"/>
          <w:sz w:val="21"/>
        </w:rPr>
        <w:t>董意见追问“谁来管、人从哪来、钱怎么来”，陈意见认为智管偏空</w:t>
      </w:r>
    </w:p>
    <w:p>
      <w:pPr>
        <w:spacing w:line="331" w:lineRule="auto" w:after="80"/>
        <w:ind w:firstLine="420"/>
      </w:pPr>
      <w:r>
        <w:rPr>
          <w:rFonts w:ascii="等线" w:hAnsi="等线" w:eastAsia="等线"/>
          <w:b w:val="0"/>
          <w:sz w:val="21"/>
        </w:rPr>
      </w:r>
      <w:r>
        <w:rPr>
          <w:rFonts w:ascii="等线" w:hAnsi="等线" w:eastAsia="等线"/>
          <w:b/>
          <w:color w:val="1A629B"/>
          <w:sz w:val="21"/>
        </w:rPr>
        <w:t>统一修改：</w:t>
      </w:r>
      <w:r>
        <w:rPr>
          <w:rFonts w:ascii="等线" w:hAnsi="等线" w:eastAsia="等线"/>
          <w:b w:val="0"/>
          <w:sz w:val="21"/>
        </w:rPr>
        <w:t>派单接单—处置验收—数据回写，四队+制度+基金+看板/助手一起承接</w:t>
      </w:r>
    </w:p>
    <w:p>
      <w:pPr>
        <w:spacing w:line="331" w:lineRule="auto" w:after="80"/>
        <w:ind w:firstLine="420"/>
      </w:pPr>
      <w:r>
        <w:rPr>
          <w:rFonts w:ascii="等线" w:hAnsi="等线" w:eastAsia="等线"/>
          <w:b w:val="0"/>
          <w:sz w:val="21"/>
        </w:rPr>
      </w:r>
      <w:r>
        <w:rPr>
          <w:rFonts w:ascii="等线" w:hAnsi="等线" w:eastAsia="等线"/>
          <w:b/>
          <w:color w:val="1A629B"/>
          <w:sz w:val="21"/>
        </w:rPr>
        <w:t>原因：</w:t>
      </w:r>
      <w:r>
        <w:rPr>
          <w:rFonts w:ascii="等线" w:hAnsi="等线" w:eastAsia="等线"/>
          <w:b w:val="0"/>
          <w:sz w:val="21"/>
        </w:rPr>
        <w:t>解决平台上线后谁执行、数据谁更新的可持续性</w:t>
      </w:r>
    </w:p>
    <w:p>
      <w:pPr>
        <w:spacing w:before="140" w:after="100"/>
      </w:pPr>
      <w:r>
        <w:rPr>
          <w:rFonts w:ascii="等线" w:hAnsi="等线" w:eastAsia="等线"/>
          <w:b/>
          <w:color w:val="1A629B"/>
          <w:sz w:val="24"/>
        </w:rPr>
        <w:t>轴修改意见</w:t>
      </w:r>
    </w:p>
    <w:p>
      <w:pPr>
        <w:spacing w:line="331" w:lineRule="auto" w:after="80"/>
        <w:ind w:firstLine="420"/>
      </w:pPr>
      <w:r>
        <w:rPr>
          <w:rFonts w:ascii="等线" w:hAnsi="等线" w:eastAsia="等线"/>
          <w:b w:val="0"/>
          <w:sz w:val="21"/>
        </w:rPr>
      </w:r>
      <w:r>
        <w:rPr>
          <w:rFonts w:ascii="等线" w:hAnsi="等线" w:eastAsia="等线"/>
          <w:b/>
          <w:color w:val="1A629B"/>
          <w:sz w:val="21"/>
        </w:rPr>
        <w:t>原稿/意见：</w:t>
      </w:r>
      <w:r>
        <w:rPr>
          <w:rFonts w:ascii="等线" w:hAnsi="等线" w:eastAsia="等线"/>
          <w:b w:val="0"/>
          <w:sz w:val="21"/>
        </w:rPr>
        <w:t>轴稿场景生动，但大幅改为先智用智管、后模型智投</w:t>
      </w:r>
    </w:p>
    <w:p>
      <w:pPr>
        <w:spacing w:line="331" w:lineRule="auto" w:after="80"/>
        <w:ind w:firstLine="420"/>
      </w:pPr>
      <w:r>
        <w:rPr>
          <w:rFonts w:ascii="等线" w:hAnsi="等线" w:eastAsia="等线"/>
          <w:b w:val="0"/>
          <w:sz w:val="21"/>
        </w:rPr>
      </w:r>
      <w:r>
        <w:rPr>
          <w:rFonts w:ascii="等线" w:hAnsi="等线" w:eastAsia="等线"/>
          <w:b/>
          <w:color w:val="1A629B"/>
          <w:sz w:val="21"/>
        </w:rPr>
        <w:t>统一修改：</w:t>
      </w:r>
      <w:r>
        <w:rPr>
          <w:rFonts w:ascii="等线" w:hAnsi="等线" w:eastAsia="等线"/>
          <w:b w:val="0"/>
          <w:sz w:val="21"/>
        </w:rPr>
        <w:t>只借鉴视频后开场、场景类比、完整叙事，不调整“1库—2模—3智”顺序</w:t>
      </w:r>
    </w:p>
    <w:p>
      <w:pPr>
        <w:spacing w:line="331" w:lineRule="auto" w:after="80"/>
        <w:ind w:firstLine="420"/>
      </w:pPr>
      <w:r>
        <w:rPr>
          <w:rFonts w:ascii="等线" w:hAnsi="等线" w:eastAsia="等线"/>
          <w:b w:val="0"/>
          <w:sz w:val="21"/>
        </w:rPr>
      </w:r>
      <w:r>
        <w:rPr>
          <w:rFonts w:ascii="等线" w:hAnsi="等线" w:eastAsia="等线"/>
          <w:b/>
          <w:color w:val="1A629B"/>
          <w:sz w:val="21"/>
        </w:rPr>
        <w:t>原因：</w:t>
      </w:r>
      <w:r>
        <w:rPr>
          <w:rFonts w:ascii="等线" w:hAnsi="等线" w:eastAsia="等线"/>
          <w:b w:val="0"/>
          <w:sz w:val="21"/>
        </w:rPr>
        <w:t>保持与用户确定的PPT主线和10.20底稿一致</w:t>
      </w:r>
    </w:p>
    <w:p>
      <w:pPr>
        <w:spacing w:before="140" w:after="100"/>
      </w:pPr>
      <w:r>
        <w:rPr>
          <w:rFonts w:ascii="等线" w:hAnsi="等线" w:eastAsia="等线"/>
          <w:b/>
          <w:color w:val="1A629B"/>
          <w:sz w:val="24"/>
        </w:rPr>
        <w:t>陈修改意见</w:t>
      </w:r>
    </w:p>
    <w:p>
      <w:pPr>
        <w:spacing w:line="331" w:lineRule="auto" w:after="80"/>
        <w:ind w:firstLine="420"/>
      </w:pPr>
      <w:r>
        <w:rPr>
          <w:rFonts w:ascii="等线" w:hAnsi="等线" w:eastAsia="等线"/>
          <w:b w:val="0"/>
          <w:sz w:val="21"/>
        </w:rPr>
      </w:r>
      <w:r>
        <w:rPr>
          <w:rFonts w:ascii="等线" w:hAnsi="等线" w:eastAsia="等线"/>
          <w:b/>
          <w:color w:val="1A629B"/>
          <w:sz w:val="21"/>
        </w:rPr>
        <w:t>原稿/意见：</w:t>
      </w:r>
      <w:r>
        <w:rPr>
          <w:rFonts w:ascii="等线" w:hAnsi="等线" w:eastAsia="等线"/>
          <w:b w:val="0"/>
          <w:sz w:val="21"/>
        </w:rPr>
        <w:t>指出模型可压缩、3智适当增加、衔接生硬；个别数据建议全市口径</w:t>
      </w:r>
    </w:p>
    <w:p>
      <w:pPr>
        <w:spacing w:line="331" w:lineRule="auto" w:after="80"/>
        <w:ind w:firstLine="420"/>
      </w:pPr>
      <w:r>
        <w:rPr>
          <w:rFonts w:ascii="等线" w:hAnsi="等线" w:eastAsia="等线"/>
          <w:b w:val="0"/>
          <w:sz w:val="21"/>
        </w:rPr>
      </w:r>
      <w:r>
        <w:rPr>
          <w:rFonts w:ascii="等线" w:hAnsi="等线" w:eastAsia="等线"/>
          <w:b/>
          <w:color w:val="1A629B"/>
          <w:sz w:val="21"/>
        </w:rPr>
        <w:t>统一修改：</w:t>
      </w:r>
      <w:r>
        <w:rPr>
          <w:rFonts w:ascii="等线" w:hAnsi="等线" w:eastAsia="等线"/>
          <w:b w:val="0"/>
          <w:sz w:val="21"/>
        </w:rPr>
        <w:t>保留模型必要步骤，但用更短句；扩写三智可见操作；成果限定秭归口径</w:t>
      </w:r>
    </w:p>
    <w:p>
      <w:pPr>
        <w:spacing w:line="331" w:lineRule="auto" w:after="80"/>
        <w:ind w:firstLine="420"/>
      </w:pPr>
      <w:r>
        <w:rPr>
          <w:rFonts w:ascii="等线" w:hAnsi="等线" w:eastAsia="等线"/>
          <w:b w:val="0"/>
          <w:sz w:val="21"/>
        </w:rPr>
      </w:r>
      <w:r>
        <w:rPr>
          <w:rFonts w:ascii="等线" w:hAnsi="等线" w:eastAsia="等线"/>
          <w:b/>
          <w:color w:val="1A629B"/>
          <w:sz w:val="21"/>
        </w:rPr>
        <w:t>原因：</w:t>
      </w:r>
      <w:r>
        <w:rPr>
          <w:rFonts w:ascii="等线" w:hAnsi="等线" w:eastAsia="等线"/>
          <w:b w:val="0"/>
          <w:sz w:val="21"/>
        </w:rPr>
        <w:t>数字不跨口径拼接，表达不因压缩损失创新</w:t>
      </w:r>
    </w:p>
    <w:p>
      <w:pPr>
        <w:spacing w:before="140" w:after="100"/>
      </w:pPr>
      <w:r>
        <w:rPr>
          <w:rFonts w:ascii="等线" w:hAnsi="等线" w:eastAsia="等线"/>
          <w:b/>
          <w:color w:val="1A629B"/>
          <w:sz w:val="24"/>
        </w:rPr>
        <w:t>时间与讲法</w:t>
      </w:r>
    </w:p>
    <w:p>
      <w:pPr>
        <w:spacing w:line="331" w:lineRule="auto" w:after="80"/>
        <w:ind w:firstLine="420"/>
      </w:pPr>
      <w:r>
        <w:rPr>
          <w:rFonts w:ascii="等线" w:hAnsi="等线" w:eastAsia="等线"/>
          <w:b w:val="0"/>
          <w:sz w:val="21"/>
        </w:rPr>
      </w:r>
      <w:r>
        <w:rPr>
          <w:rFonts w:ascii="等线" w:hAnsi="等线" w:eastAsia="等线"/>
          <w:b/>
          <w:color w:val="1A629B"/>
          <w:sz w:val="21"/>
        </w:rPr>
        <w:t>原稿/意见：</w:t>
      </w:r>
      <w:r>
        <w:rPr>
          <w:rFonts w:ascii="等线" w:hAnsi="等线" w:eastAsia="等线"/>
          <w:b w:val="0"/>
          <w:sz w:val="21"/>
        </w:rPr>
        <w:t>用户要求8分钟且含30秒视频，单人讲述</w:t>
      </w:r>
    </w:p>
    <w:p>
      <w:pPr>
        <w:spacing w:line="331" w:lineRule="auto" w:after="80"/>
        <w:ind w:firstLine="420"/>
      </w:pPr>
      <w:r>
        <w:rPr>
          <w:rFonts w:ascii="等线" w:hAnsi="等线" w:eastAsia="等线"/>
          <w:b w:val="0"/>
          <w:sz w:val="21"/>
        </w:rPr>
      </w:r>
      <w:r>
        <w:rPr>
          <w:rFonts w:ascii="等线" w:hAnsi="等线" w:eastAsia="等线"/>
          <w:b/>
          <w:color w:val="1A629B"/>
          <w:sz w:val="21"/>
        </w:rPr>
        <w:t>统一修改：</w:t>
      </w:r>
      <w:r>
        <w:rPr>
          <w:rFonts w:ascii="等线" w:hAnsi="等线" w:eastAsia="等线"/>
          <w:b w:val="0"/>
          <w:sz w:val="21"/>
        </w:rPr>
        <w:t>净稿以约1500—1700口播字符控制，现场含翻页停顿实测</w:t>
      </w:r>
    </w:p>
    <w:p>
      <w:pPr>
        <w:spacing w:line="331" w:lineRule="auto" w:after="80"/>
        <w:ind w:firstLine="420"/>
      </w:pPr>
      <w:r>
        <w:rPr>
          <w:rFonts w:ascii="等线" w:hAnsi="等线" w:eastAsia="等线"/>
          <w:b w:val="0"/>
          <w:sz w:val="21"/>
        </w:rPr>
      </w:r>
      <w:r>
        <w:rPr>
          <w:rFonts w:ascii="等线" w:hAnsi="等线" w:eastAsia="等线"/>
          <w:b/>
          <w:color w:val="1A629B"/>
          <w:sz w:val="21"/>
        </w:rPr>
        <w:t>原因：</w:t>
      </w:r>
      <w:r>
        <w:rPr>
          <w:rFonts w:ascii="等线" w:hAnsi="等线" w:eastAsia="等线"/>
          <w:b w:val="0"/>
          <w:sz w:val="21"/>
        </w:rPr>
        <w:t>1500—1800并非一刀切，单人7分30秒正文以1550—1650更稳</w:t>
      </w:r>
    </w:p>
    <w:p>
      <w:pPr>
        <w:spacing w:before="140" w:after="100"/>
      </w:pPr>
      <w:r>
        <w:rPr>
          <w:rFonts w:ascii="等线" w:hAnsi="等线" w:eastAsia="等线"/>
          <w:b/>
          <w:color w:val="1A629B"/>
          <w:sz w:val="24"/>
        </w:rPr>
        <w:t>必须逐项核验的数据与竞赛规则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</w:tcPr>
          <w:p>
            <w:r/>
            <w:r>
              <w:rPr>
                <w:rFonts w:ascii="等线" w:hAnsi="等线" w:eastAsia="等线"/>
                <w:b/>
                <w:color w:val="183C5B"/>
                <w:sz w:val="18"/>
              </w:rPr>
              <w:t>项目</w:t>
            </w:r>
          </w:p>
        </w:tc>
        <w:tc>
          <w:tcPr>
            <w:tcW w:type="dxa" w:w="3211"/>
          </w:tcPr>
          <w:p>
            <w:r/>
            <w:r>
              <w:rPr>
                <w:rFonts w:ascii="等线" w:hAnsi="等线" w:eastAsia="等线"/>
                <w:b/>
                <w:color w:val="183C5B"/>
                <w:sz w:val="18"/>
              </w:rPr>
              <w:t>当前处理方式与风险</w:t>
            </w:r>
          </w:p>
        </w:tc>
        <w:tc>
          <w:tcPr>
            <w:tcW w:type="dxa" w:w="3211"/>
          </w:tcPr>
          <w:p>
            <w:r/>
            <w:r>
              <w:rPr>
                <w:rFonts w:ascii="等线" w:hAnsi="等线" w:eastAsia="等线"/>
                <w:b/>
                <w:color w:val="183C5B"/>
                <w:sz w:val="18"/>
              </w:rPr>
              <w:t>优先级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40" w:line="264" w:lineRule="auto"/>
            </w:pPr>
            <w:r/>
            <w:r>
              <w:rPr>
                <w:rFonts w:ascii="等线" w:hAnsi="等线" w:eastAsia="等线"/>
                <w:b w:val="0"/>
                <w:sz w:val="17"/>
              </w:rPr>
              <w:t>2026年创客大赛要求.doc</w:t>
            </w:r>
          </w:p>
        </w:tc>
        <w:tc>
          <w:tcPr>
            <w:tcW w:type="dxa" w:w="3211"/>
            <w:vAlign w:val="center"/>
          </w:tcPr>
          <w:p>
            <w:pPr>
              <w:spacing w:after="40" w:line="264" w:lineRule="auto"/>
            </w:pPr>
            <w:r/>
            <w:r>
              <w:rPr>
                <w:rFonts w:ascii="等线" w:hAnsi="等线" w:eastAsia="等线"/>
                <w:b w:val="0"/>
                <w:sz w:val="17"/>
              </w:rPr>
              <w:t>GitHub有该老式.doc文件，本轮未完整解析其中评分细则；正式演示前核对8分钟是否含视频、超时规则等</w:t>
            </w:r>
          </w:p>
        </w:tc>
        <w:tc>
          <w:tcPr>
            <w:tcW w:type="dxa" w:w="3211"/>
            <w:vAlign w:val="center"/>
          </w:tcPr>
          <w:p>
            <w:pPr>
              <w:spacing w:after="40" w:line="264" w:lineRule="auto"/>
            </w:pPr>
            <w:r/>
            <w:r>
              <w:rPr>
                <w:rFonts w:ascii="等线" w:hAnsi="等线" w:eastAsia="等线"/>
                <w:b w:val="0"/>
                <w:sz w:val="17"/>
              </w:rPr>
              <w:t>必核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40" w:line="264" w:lineRule="auto"/>
            </w:pPr>
            <w:r/>
            <w:r>
              <w:rPr>
                <w:rFonts w:ascii="等线" w:hAnsi="等线" w:eastAsia="等线"/>
                <w:b w:val="0"/>
                <w:sz w:val="17"/>
              </w:rPr>
              <w:t>思维导图红字</w:t>
            </w:r>
          </w:p>
        </w:tc>
        <w:tc>
          <w:tcPr>
            <w:tcW w:type="dxa" w:w="3211"/>
            <w:vAlign w:val="center"/>
          </w:tcPr>
          <w:p>
            <w:pPr>
              <w:spacing w:after="40" w:line="264" w:lineRule="auto"/>
            </w:pPr>
            <w:r/>
            <w:r>
              <w:rPr>
                <w:rFonts w:ascii="等线" w:hAnsi="等线" w:eastAsia="等线"/>
                <w:b w:val="0"/>
                <w:sz w:val="17"/>
              </w:rPr>
              <w:t>已读取全文，但Word颜色批注不能保证无遗漏；新增功能已按全文语义并入相应段落</w:t>
            </w:r>
          </w:p>
        </w:tc>
        <w:tc>
          <w:tcPr>
            <w:tcW w:type="dxa" w:w="3211"/>
            <w:vAlign w:val="center"/>
          </w:tcPr>
          <w:p>
            <w:pPr>
              <w:spacing w:after="40" w:line="264" w:lineRule="auto"/>
            </w:pPr>
            <w:r/>
            <w:r>
              <w:rPr>
                <w:rFonts w:ascii="等线" w:hAnsi="等线" w:eastAsia="等线"/>
                <w:b w:val="0"/>
                <w:sz w:val="17"/>
              </w:rPr>
              <w:t>核对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40" w:line="264" w:lineRule="auto"/>
            </w:pPr>
            <w:r/>
            <w:r>
              <w:rPr>
                <w:rFonts w:ascii="等线" w:hAnsi="等线" w:eastAsia="等线"/>
                <w:b w:val="0"/>
                <w:sz w:val="17"/>
              </w:rPr>
              <w:t>150栋核心设备升级</w:t>
            </w:r>
          </w:p>
        </w:tc>
        <w:tc>
          <w:tcPr>
            <w:tcW w:type="dxa" w:w="3211"/>
            <w:vAlign w:val="center"/>
          </w:tcPr>
          <w:p>
            <w:pPr>
              <w:spacing w:after="40" w:line="264" w:lineRule="auto"/>
            </w:pPr>
            <w:r/>
            <w:r>
              <w:rPr>
                <w:rFonts w:ascii="等线" w:hAnsi="等线" w:eastAsia="等线"/>
                <w:b w:val="0"/>
                <w:sz w:val="17"/>
              </w:rPr>
              <w:t>10.20底稿与思维导图写2026年完成；核对完成与验收口径</w:t>
            </w:r>
          </w:p>
        </w:tc>
        <w:tc>
          <w:tcPr>
            <w:tcW w:type="dxa" w:w="3211"/>
            <w:vAlign w:val="center"/>
          </w:tcPr>
          <w:p>
            <w:pPr>
              <w:spacing w:after="40" w:line="264" w:lineRule="auto"/>
            </w:pPr>
            <w:r/>
            <w:r>
              <w:rPr>
                <w:rFonts w:ascii="等线" w:hAnsi="等线" w:eastAsia="等线"/>
                <w:b w:val="0"/>
                <w:sz w:val="17"/>
              </w:rPr>
              <w:t>必核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40" w:line="264" w:lineRule="auto"/>
            </w:pPr>
            <w:r/>
            <w:r>
              <w:rPr>
                <w:rFonts w:ascii="等线" w:hAnsi="等线" w:eastAsia="等线"/>
                <w:b w:val="0"/>
                <w:sz w:val="17"/>
              </w:rPr>
              <w:t>340多座低分预警</w:t>
            </w:r>
          </w:p>
        </w:tc>
        <w:tc>
          <w:tcPr>
            <w:tcW w:type="dxa" w:w="3211"/>
            <w:vAlign w:val="center"/>
          </w:tcPr>
          <w:p>
            <w:pPr>
              <w:spacing w:after="40" w:line="264" w:lineRule="auto"/>
            </w:pPr>
            <w:r/>
            <w:r>
              <w:rPr>
                <w:rFonts w:ascii="等线" w:hAnsi="等线" w:eastAsia="等线"/>
                <w:b w:val="0"/>
                <w:sz w:val="17"/>
              </w:rPr>
              <w:t>数据来源为1022底稿与导图；确认60分阈值及是否已复核</w:t>
            </w:r>
          </w:p>
        </w:tc>
        <w:tc>
          <w:tcPr>
            <w:tcW w:type="dxa" w:w="3211"/>
            <w:vAlign w:val="center"/>
          </w:tcPr>
          <w:p>
            <w:pPr>
              <w:spacing w:after="40" w:line="264" w:lineRule="auto"/>
            </w:pPr>
            <w:r/>
            <w:r>
              <w:rPr>
                <w:rFonts w:ascii="等线" w:hAnsi="等线" w:eastAsia="等线"/>
                <w:b w:val="0"/>
                <w:sz w:val="17"/>
              </w:rPr>
              <w:t>必核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40" w:line="264" w:lineRule="auto"/>
            </w:pPr>
            <w:r/>
            <w:r>
              <w:rPr>
                <w:rFonts w:ascii="等线" w:hAnsi="等线" w:eastAsia="等线"/>
                <w:b w:val="0"/>
                <w:sz w:val="17"/>
              </w:rPr>
              <w:t>16条线上工单0.38小时</w:t>
            </w:r>
          </w:p>
        </w:tc>
        <w:tc>
          <w:tcPr>
            <w:tcW w:type="dxa" w:w="3211"/>
            <w:vAlign w:val="center"/>
          </w:tcPr>
          <w:p>
            <w:pPr>
              <w:spacing w:after="40" w:line="264" w:lineRule="auto"/>
            </w:pPr>
            <w:r/>
            <w:r>
              <w:rPr>
                <w:rFonts w:ascii="等线" w:hAnsi="等线" w:eastAsia="等线"/>
                <w:b w:val="0"/>
                <w:sz w:val="17"/>
              </w:rPr>
              <w:t>16条属于线上抢修工单子集；不能把18次全部写成同一统计口径</w:t>
            </w:r>
          </w:p>
        </w:tc>
        <w:tc>
          <w:tcPr>
            <w:tcW w:type="dxa" w:w="3211"/>
            <w:vAlign w:val="center"/>
          </w:tcPr>
          <w:p>
            <w:pPr>
              <w:spacing w:after="40" w:line="264" w:lineRule="auto"/>
            </w:pPr>
            <w:r/>
            <w:r>
              <w:rPr>
                <w:rFonts w:ascii="等线" w:hAnsi="等线" w:eastAsia="等线"/>
                <w:b w:val="0"/>
                <w:sz w:val="17"/>
              </w:rPr>
              <w:t>必核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40" w:line="264" w:lineRule="auto"/>
            </w:pPr>
            <w:r/>
            <w:r>
              <w:rPr>
                <w:rFonts w:ascii="等线" w:hAnsi="等线" w:eastAsia="等线"/>
                <w:b w:val="0"/>
                <w:sz w:val="17"/>
              </w:rPr>
              <w:t>48次调剂</w:t>
            </w:r>
          </w:p>
        </w:tc>
        <w:tc>
          <w:tcPr>
            <w:tcW w:type="dxa" w:w="3211"/>
            <w:vAlign w:val="center"/>
          </w:tcPr>
          <w:p>
            <w:pPr>
              <w:spacing w:after="40" w:line="264" w:lineRule="auto"/>
            </w:pPr>
            <w:r/>
            <w:r>
              <w:rPr>
                <w:rFonts w:ascii="等线" w:hAnsi="等线" w:eastAsia="等线"/>
                <w:b w:val="0"/>
                <w:sz w:val="17"/>
              </w:rPr>
              <w:t>不等同于48次线上预约；维持“平台记录调剂48次”</w:t>
            </w:r>
          </w:p>
        </w:tc>
        <w:tc>
          <w:tcPr>
            <w:tcW w:type="dxa" w:w="3211"/>
            <w:vAlign w:val="center"/>
          </w:tcPr>
          <w:p>
            <w:pPr>
              <w:spacing w:after="40" w:line="264" w:lineRule="auto"/>
            </w:pPr>
            <w:r/>
            <w:r>
              <w:rPr>
                <w:rFonts w:ascii="等线" w:hAnsi="等线" w:eastAsia="等线"/>
                <w:b w:val="0"/>
                <w:sz w:val="17"/>
              </w:rPr>
              <w:t>必核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40" w:line="264" w:lineRule="auto"/>
            </w:pPr>
            <w:r/>
            <w:r>
              <w:rPr>
                <w:rFonts w:ascii="等线" w:hAnsi="等线" w:eastAsia="等线"/>
                <w:b w:val="0"/>
                <w:sz w:val="17"/>
              </w:rPr>
              <w:t>基金金额</w:t>
            </w:r>
          </w:p>
        </w:tc>
        <w:tc>
          <w:tcPr>
            <w:tcW w:type="dxa" w:w="3211"/>
            <w:vAlign w:val="center"/>
          </w:tcPr>
          <w:p>
            <w:pPr>
              <w:spacing w:after="40" w:line="264" w:lineRule="auto"/>
            </w:pPr>
            <w:r/>
            <w:r>
              <w:rPr>
                <w:rFonts w:ascii="等线" w:hAnsi="等线" w:eastAsia="等线"/>
                <w:b w:val="0"/>
                <w:sz w:val="17"/>
              </w:rPr>
              <w:t>9.30“滚动累计近190万元”，10.20“年底预计结余超100万元”，口径不同；净稿不报总额</w:t>
            </w:r>
          </w:p>
        </w:tc>
        <w:tc>
          <w:tcPr>
            <w:tcW w:type="dxa" w:w="3211"/>
            <w:vAlign w:val="center"/>
          </w:tcPr>
          <w:p>
            <w:pPr>
              <w:spacing w:after="40" w:line="264" w:lineRule="auto"/>
            </w:pPr>
            <w:r/>
            <w:r>
              <w:rPr>
                <w:rFonts w:ascii="等线" w:hAnsi="等线" w:eastAsia="等线"/>
                <w:b w:val="0"/>
                <w:sz w:val="17"/>
              </w:rPr>
              <w:t>暂缓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40" w:line="264" w:lineRule="auto"/>
            </w:pPr>
            <w:r/>
            <w:r>
              <w:rPr>
                <w:rFonts w:ascii="等线" w:hAnsi="等线" w:eastAsia="等线"/>
                <w:b w:val="0"/>
                <w:sz w:val="17"/>
              </w:rPr>
              <w:t>531份满意度</w:t>
            </w:r>
          </w:p>
        </w:tc>
        <w:tc>
          <w:tcPr>
            <w:tcW w:type="dxa" w:w="3211"/>
            <w:vAlign w:val="center"/>
          </w:tcPr>
          <w:p>
            <w:pPr>
              <w:spacing w:after="40" w:line="264" w:lineRule="auto"/>
            </w:pPr>
            <w:r/>
            <w:r>
              <w:rPr>
                <w:rFonts w:ascii="等线" w:hAnsi="等线" w:eastAsia="等线"/>
                <w:b w:val="0"/>
                <w:sz w:val="17"/>
              </w:rPr>
              <w:t>部分历史版本存在95.8%与96.8%差异，净稿不使用</w:t>
            </w:r>
          </w:p>
        </w:tc>
        <w:tc>
          <w:tcPr>
            <w:tcW w:type="dxa" w:w="3211"/>
            <w:vAlign w:val="center"/>
          </w:tcPr>
          <w:p>
            <w:pPr>
              <w:spacing w:after="40" w:line="264" w:lineRule="auto"/>
            </w:pPr>
            <w:r/>
            <w:r>
              <w:rPr>
                <w:rFonts w:ascii="等线" w:hAnsi="等线" w:eastAsia="等线"/>
                <w:b w:val="0"/>
                <w:sz w:val="17"/>
              </w:rPr>
              <w:t>暂缓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40" w:line="264" w:lineRule="auto"/>
            </w:pPr>
            <w:r/>
            <w:r>
              <w:rPr>
                <w:rFonts w:ascii="等线" w:hAnsi="等线" w:eastAsia="等线"/>
                <w:b w:val="0"/>
                <w:sz w:val="17"/>
              </w:rPr>
              <w:t>7栋肖家坪新建</w:t>
            </w:r>
          </w:p>
        </w:tc>
        <w:tc>
          <w:tcPr>
            <w:tcW w:type="dxa" w:w="3211"/>
            <w:vAlign w:val="center"/>
          </w:tcPr>
          <w:p>
            <w:pPr>
              <w:spacing w:after="40" w:line="264" w:lineRule="auto"/>
            </w:pPr>
            <w:r/>
            <w:r>
              <w:rPr>
                <w:rFonts w:ascii="等线" w:hAnsi="等线" w:eastAsia="等线"/>
                <w:b w:val="0"/>
                <w:sz w:val="17"/>
              </w:rPr>
              <w:t>明确是已竣工还是提供决策辅助的工程；净稿仅称“为布局提供依据”</w:t>
            </w:r>
          </w:p>
        </w:tc>
        <w:tc>
          <w:tcPr>
            <w:tcW w:type="dxa" w:w="3211"/>
            <w:vAlign w:val="center"/>
          </w:tcPr>
          <w:p>
            <w:pPr>
              <w:spacing w:after="40" w:line="264" w:lineRule="auto"/>
            </w:pPr>
            <w:r/>
            <w:r>
              <w:rPr>
                <w:rFonts w:ascii="等线" w:hAnsi="等线" w:eastAsia="等线"/>
                <w:b w:val="0"/>
                <w:sz w:val="17"/>
              </w:rPr>
              <w:t>必核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77" w:right="1276" w:bottom="1020" w:left="13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等线" w:hAnsi="等线" w:eastAsia="等线"/>
        <w:b w:val="0"/>
        <w:color w:val="536375"/>
        <w:sz w:val="16"/>
      </w:rPr>
      <w:t>智烤管家 · 单人演讲修订工作版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等线" w:hAnsi="等线" w:eastAsia="等线"/>
        <w:b w:val="0"/>
        <w:color w:val="536375"/>
        <w:sz w:val="16"/>
      </w:rPr>
      <w:t>湖北省烟草 · 创客大赛决赛 | 1022 ·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