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智烤管家</w:t>
      </w:r>
    </w:p>
    <w:p>
      <w:r>
        <w:rPr>
          <w:color w:val="66798F"/>
          <w:i/>
        </w:rPr>
        <w:t xml:space="preserve">单人决赛发布稿｜更新版 10222207｜30秒视频 + 7分30秒现场讲述</w:t>
      </w:r>
    </w:p>
    <w:p>
      <w:r>
        <w:t xml:space="preserve">演讲主线：烟农、合作社、管理部门三个难题 → 一库采数 → 两模析数 → 三智用数 → 服务数据回库。</w:t>
      </w:r>
    </w:p>
    <w:p>
      <w:r>
        <w:t xml:space="preserve">正文统计：约 1598 字符（汉字、数字和英文字母，不计标点与舞台提示）；建议现场按每分钟约 213 字实测。</w:t>
      </w:r>
    </w:p>
    <w:p>
      <w:pPr>
        <w:pStyle w:val="Heading1"/>
      </w:pPr>
      <w:r>
        <w:t xml:space="preserve">开场·三个困境</w:t>
      </w:r>
    </w:p>
    <w:p>
      <w:r>
        <w:t xml:space="preserve">（先播放30秒视频，视频结束后单人登台。）</w:t>
      </w:r>
    </w:p>
    <w:p>
      <w:r>
        <w:t xml:space="preserve">各位领导、各位专家，大家好！我是宜昌烟草“智同道合”创客小组的余文杰。</w:t>
      </w:r>
    </w:p>
    <w:p>
      <w:r>
        <w:t xml:space="preserve">刚才的视频，讲的是一座烤房背后，三拨人的着急。</w:t>
      </w:r>
    </w:p>
    <w:p>
      <w:r>
        <w:t xml:space="preserve">先看烟农。过去烤房往往固定分给一户人家。遇上集中采收，这边烤完房空着；那边鲜烟叶等着进房，想借用却不知道哪座空、找谁调。这叫资源“调不动”。</w:t>
      </w:r>
    </w:p>
    <w:p>
      <w:r>
        <w:t xml:space="preserve">再看合作社。烘烤正在进行，风机突然停了。哪些零件容易坏、配件在哪，心里没底；出故障还要逐级报修、找师傅、调配件。温度耽误不起，烟叶质量更耽误不起。这叫设备“管不住”。</w:t>
      </w:r>
    </w:p>
    <w:p>
      <w:r>
        <w:t xml:space="preserve">最后看管理部门。每年都有有限的建设管护资金，可旧房先修哪栋、哪个村确实缺房、该不该新建，缺少可以横向比较的依据。这叫资金“投不准”。</w:t>
      </w:r>
    </w:p>
    <w:p>
      <w:r>
        <w:t xml:space="preserve">三件事，指向同一个根源：资源无统筹、投入无依据、管护无闭环。</w:t>
      </w:r>
    </w:p>
    <w:p>
      <w:pPr>
        <w:pStyle w:val="Heading1"/>
      </w:pPr>
      <w:r>
        <w:t xml:space="preserve">总起·从问题到123</w:t>
      </w:r>
    </w:p>
    <w:p>
      <w:r>
        <w:t xml:space="preserve">要把闲房调起来、坏房修及时、资金投准确，光靠多打电话、多填表不够。我们得先摸清每栋房的家底，再算清哪些该修、哪些该建，最后让判断变成服务。</w:t>
      </w:r>
    </w:p>
    <w:p>
      <w:r>
        <w:t xml:space="preserve">这就是“智烤管家”的“123”：建1个库来采数，用2个模型来析数，在“智用、智投、智管”3个场景中用数。数据从现场来，结果回到现场去。</w:t>
      </w:r>
    </w:p>
    <w:p>
      <w:pPr>
        <w:pStyle w:val="Heading1"/>
      </w:pPr>
      <w:r>
        <w:t xml:space="preserve">一库·采数</w:t>
      </w:r>
    </w:p>
    <w:p>
      <w:r>
        <w:t xml:space="preserve">第一步，采数——让每栋烤房都有一份会更新的档案。</w:t>
      </w:r>
    </w:p>
    <w:p>
      <w:r>
        <w:t xml:space="preserve">我们先导入历史Excel台账，用烤房编码关联主体、加热、散热、自控4大类18个关键部位。技术员到现场，只需扫码或输入编码后几位，已有信息自动弹出；核对、拍照，标记“正常、损坏、缺失”，就能更新，免去重复填表。</w:t>
      </w:r>
    </w:p>
    <w:p>
      <w:r>
        <w:t xml:space="preserve">依托22个低代码应用、6类报表，秭归2442座烤房实现“一房一档”。后续的预约使用、故障维修、烟农评价，也会不断写回档案。</w:t>
      </w:r>
    </w:p>
    <w:p>
      <w:r>
        <w:t xml:space="preserve">但有了2442份档案，还要回答更难的问题：如果明天只够修十栋，究竟先修哪十栋？</w:t>
      </w:r>
    </w:p>
    <w:p>
      <w:pPr>
        <w:pStyle w:val="Heading1"/>
      </w:pPr>
      <w:r>
        <w:t xml:space="preserve">两模·析数</w:t>
      </w:r>
    </w:p>
    <w:p>
      <w:r>
        <w:t xml:space="preserve">第二步，析数。我们让两个模型接力：先盘活旧房，再判断新房。</w:t>
      </w:r>
    </w:p>
    <w:p>
      <w:r>
        <w:t xml:space="preserve">第一个，烤房健康评估模型，按“取数、计算、输出”三步走。第一步取数，直接从档案调取基础信息、部件状态、检查评价和维修记录，不再重复录入。第二步计算，用AHP层次分析法确定关键部件权重，汇总为健康分；再利用威布尔分布，结合年限和维修情况估算剩余寿命。第三步输出，给出风险烤房、风险部位TOP3和推荐维修优先清单。</w:t>
      </w:r>
    </w:p>
    <w:p>
      <w:r>
        <w:t xml:space="preserve">健康分低于60不是直接判废，而是提示技术员先查重点部位，现场复核后再安排维修。这才叫从“挨栋找病”变成“带单问诊”。</w:t>
      </w:r>
    </w:p>
    <w:p>
      <w:r>
        <w:t xml:space="preserve">可旧房修好了，新房就一定要建吗？有的村烤房数量不少，老化后有效能力却不足；有的村看似缺房，调剂、维修就能补上缺口。</w:t>
      </w:r>
    </w:p>
    <w:p>
      <w:r>
        <w:t xml:space="preserve">所以第二个，千亩村发展导引模型，按“数、需、评、推”四步走：“数”，汇集烤房、种植规模、产业趋势和候选点数据；“需”，把现有烤房健康状况折算为有效烤能Q，与理论需求D比较，算出真实缺口；“评”，采用AHP和熵权法组合赋权，用TOPSIS给候选点排序；“推”，在地图沙盘中试着增减栋数、调整位置，看村级供需和发展指数怎样变化。</w:t>
      </w:r>
    </w:p>
    <w:p>
      <w:r>
        <w:t xml:space="preserve">一个模型算旧房还能承担多少，另一个算新房要不要建、建几栋、建哪里；再由现场踏勘和审批把关。</w:t>
      </w:r>
    </w:p>
    <w:p>
      <w:pPr>
        <w:pStyle w:val="Heading1"/>
      </w:pPr>
      <w:r>
        <w:t xml:space="preserve">三智·用数</w:t>
      </w:r>
    </w:p>
    <w:p>
      <w:r>
        <w:t xml:space="preserve">可是评委们想想：模型算得再准，清单如果只留在办公室，烟农还是找不到房。于是第三步，用数——让数字走出屏幕，变成三件看得见的事。</w:t>
      </w:r>
    </w:p>
    <w:p>
      <w:r>
        <w:t xml:space="preserve">第一智“智用”，让烟农少跑腿。烟农打开微信小程序，能查种植档案、烘烤记录；要找房，就按空闲时段、距离和健康状态筛选、申请调剂。烘烤时设备出问题，选中烤房一键报修，手机上能看维修进度；用完再对烘烤师、温湿度控制和设备状况打分。过去四处问，现在手机就能办。</w:t>
      </w:r>
    </w:p>
    <w:p>
      <w:r>
        <w:t xml:space="preserve">第二智“智投”，让管理人员花钱有依据。修旧房，看健康分、风险部位和维修优先清单，还可比较配件价格与预计使用年限；建新房，看真实缺口、候选点排序，再把不同位置、不同栋数放到地图沙盘里比一比。已筛查出340多座低分预警对象，并为150栋核心设备升级安排及肖家坪7栋烤房布局提供辅助依据。模型不代替审批，只让决策有据可依。</w:t>
      </w:r>
    </w:p>
    <w:p>
      <w:r>
        <w:t xml:space="preserve">第三智“智管”，让合作社知道谁来管、钱怎么管、做完怎么查。烟农报修，后台派单，抢修队处理，验收后把换了什么部件、何时修好、烟农怎么评价写回数据库，健康分随之更新。调制队指导烘烤，抢修队处理故障，养护队负责巡检，综合队协调验收；合作社以管护制度和专项基金保障长期运行，FineBI看板、AI助手辅助看风险、查进度。有人接、有标准验、有资金管，平台才能长期用。</w:t>
      </w:r>
    </w:p>
    <w:p>
      <w:pPr>
        <w:pStyle w:val="Heading1"/>
      </w:pPr>
      <w:r>
        <w:t xml:space="preserve">成效·闭环</w:t>
      </w:r>
    </w:p>
    <w:p>
      <w:r>
        <w:t xml:space="preserve">一个烤季，平台记录48次烤房调剂、18次报修处置；其中16条平台抢修工单平均响应0.38小时。两级合作社已统筹管护1363栋，约占当年在用烤房的81%。</w:t>
      </w:r>
    </w:p>
    <w:p>
      <w:r>
        <w:t xml:space="preserve">更重要的是，每次调剂、维修、评价都会回到“1库”，让下一轮“2模”算得更准、“3智”办得更好。</w:t>
      </w:r>
    </w:p>
    <w:p>
      <w:r>
        <w:t xml:space="preserve">一库把家底摸清，两模把轻重缓急算明，三智把难题真正办成。这就是“智烤管家”。我的汇报完毕，谢谢大家！</w:t>
      </w:r>
    </w:p>
    <w:p>
      <w:r>
        <w:t xml:space="preserve">校验提示：340多、150栋、肖家坪7栋等成果数字与完成/计划状态须按业务正式材料核定；旧式DOC比赛要求完整细则仍待复核。</w:t>
      </w:r>
    </w:p>
    <w:p>
      <w:r>
        <w:t xml:space="preserve">智烤管家 · 湖北烟草创客大赛 · 2026.10.22</w:t>
      </w:r>
    </w:p>
    <w:sectPr>
      <w:pgSz w:w="11906" w:h="16838"/>
      <w:pgMar w:top="1080" w:right="1180" w:bottom="1000" w:left="1180" w:header="500" w:footer="5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eastAsia="FangSong" w:ascii="Calibri"/>
      <w:sz w:val="22"/>
    </w:rPr>
    <w:pPr>
      <w:spacing w:after="100" w:line="340" w:lineRule="auto"/>
    </w:pPr>
  </w:style>
  <w:style w:type="paragraph" w:styleId="Title">
    <w:name w:val="Title"/>
    <w:rPr>
      <w:rFonts w:eastAsia="Microsoft YaHei"/>
      <w:b/>
      <w:color w:val="16385D"/>
      <w:sz w:val="36"/>
    </w:rPr>
    <w:pPr>
      <w:jc w:val="center"/>
    </w:pPr>
  </w:style>
  <w:style w:type="paragraph" w:styleId="Heading1">
    <w:name w:val="heading 1"/>
    <w:rPr>
      <w:b/>
      <w:color w:val="185C8B"/>
      <w:sz w:val="26"/>
    </w:rPr>
    <w:pPr>
      <w:spacing w:before="260" w:after="110"/>
    </w:pPr>
  </w:style>
  <w:style w:type="paragraph" w:styleId="Heading2">
    <w:name w:val="heading 2"/>
    <w:rPr>
      <w:b/>
      <w:color w:val="286EA0"/>
      <w:sz w:val="23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