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仿宋_GB2312" w:hAnsi="仿宋_GB2312" w:eastAsia="仿宋_GB2312" w:cs="仿宋_GB2312"/>
          <w:b w:val="0"/>
          <w:color w:val="505050"/>
          <w:sz w:val="28"/>
        </w:rPr>
        <w:t>智烤管家 · 湖北省创客大赛决赛发布稿（第4版）</w:t>
      </w:r>
    </w:p>
    <w:p>
      <w:pPr>
        <w:spacing w:after="360"/>
        <w:jc w:val="center"/>
      </w:pPr>
      <w:r>
        <w:t>V4_双模四步法版_技术创新表达最强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时长与角色： </w:t>
            </w:r>
            <w:r>
              <w:rPr>
                <w:rFonts w:ascii="仿宋_GB2312" w:hAnsi="仿宋_GB2312" w:eastAsia="仿宋_GB2312" w:cs="仿宋_GB2312"/>
                <w:sz w:val="22"/>
              </w:rPr>
              <w:t>目标口播约7分30秒–7分50秒；A约承担75%、B约承担25%。当前脚本汉字口播量约1498字，排练时以实际语速为准。</w:t>
            </w:r>
          </w:p>
        </w:tc>
      </w:tr>
    </w:tbl>
    <w:p>
      <w:pPr>
        <w:spacing w:after="0"/>
      </w:pPr>
    </w:p>
    <w:p>
      <w:pPr>
        <w:pStyle w:val="Heading1"/>
        <w:spacing w:before="200" w:after="100"/>
      </w:pPr>
      <w:r>
        <w:t>一、这一版为什么这样写</w:t>
      </w:r>
    </w:p>
    <w:p>
      <w:pPr>
        <w:spacing w:line="360" w:lineRule="auto" w:after="0"/>
        <w:ind w:firstLine="420"/>
      </w:pPr>
      <w:r>
        <w:rPr>
          <w:rFonts w:ascii="仿宋_GB2312" w:hAnsi="仿宋_GB2312" w:eastAsia="仿宋_GB2312" w:cs="仿宋_GB2312"/>
          <w:sz w:val="32"/>
        </w:rPr>
        <w:t>版本定位：最“数创”、最像技术决赛答辩。把项目归纳成“双模四步法：识别—诊断—推演—执行”，B作为“技术追问者”，每次只问一个模型关节。适合想把创新度和方法论抬高的一版。</w:t>
      </w:r>
    </w:p>
    <w:p>
      <w:pPr>
        <w:pStyle w:val="Heading1"/>
        <w:spacing w:before="200" w:after="100"/>
      </w:pPr>
      <w:r>
        <w:t>二、8分钟节奏建议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建议时间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内容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角色</w:t>
            </w:r>
          </w:p>
        </w:tc>
        <w:tc>
          <w:tcPr>
            <w:tcW w:type="dxa" w:w="2351"/>
            <w:vAlign w:val="center"/>
            <w:shd w:fill="D9E2F3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舞台任务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0:00–0:50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开场矛盾/故事钩子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第一分钟必须让评委知道“为什么要做”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0:50–1:25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总体架构/双模型定位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两个模型是主角，三智是落地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1:25–3:10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健康评估模型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讲清输入、机理、输出和“不能回春”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3:10–4:50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新建沙盘推演模型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A主+B追问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讲清有效烤能、组合赋权、情景推演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4:50–5:25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视频演示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视频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30–40秒，不重复口播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5:25–6:35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平台落地/真实案例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磨坪调剂、雷击抢修、建设论证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6:35–7:25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创新总结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双模耦合、先修后建、闭环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7:25–7:50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A+B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留10秒机动，禁止拖到8分钟整</w:t>
            </w:r>
          </w:p>
        </w:tc>
      </w:tr>
    </w:tbl>
    <w:p>
      <w:pPr>
        <w:pStyle w:val="Heading1"/>
        <w:spacing w:before="200" w:after="100"/>
      </w:pPr>
      <w:r>
        <w:t>三、PPT逐页配合方案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页码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屏幕内容</w:t>
            </w:r>
          </w:p>
        </w:tc>
        <w:tc>
          <w:tcPr>
            <w:tcW w:type="dxa" w:w="313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黑体" w:hAnsi="黑体" w:eastAsia="黑体" w:cs="黑体"/>
                <w:b/>
                <w:sz w:val="20"/>
              </w:rPr>
              <w:t>这一页只完成的任务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两颗大脑，四步决策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方法钩子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识别：一栋一档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数据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诊断：健康/RUL/预警/部件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健康模型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推演：有效烤能+2/5/10%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新建模型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四步一镜到底视频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演示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执行：烟农/合作社/管理端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平台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三个“不是”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差异化创新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P8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双模四步法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rFonts w:ascii="仿宋_GB2312" w:hAnsi="仿宋_GB2312" w:eastAsia="仿宋_GB2312" w:cs="仿宋_GB2312"/>
                <w:b w:val="0"/>
                <w:sz w:val="20"/>
              </w:rPr>
              <w:t>收束</w:t>
            </w:r>
          </w:p>
        </w:tc>
      </w:tr>
    </w:tbl>
    <w:p>
      <w:pPr>
        <w:pStyle w:val="Heading1"/>
        <w:spacing w:before="200" w:after="100"/>
      </w:pPr>
      <w:r>
        <w:t>四、双人正式发布稿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版本定位： </w:t>
            </w:r>
            <w:r>
              <w:rPr>
                <w:rFonts w:ascii="仿宋_GB2312" w:hAnsi="仿宋_GB2312" w:eastAsia="仿宋_GB2312" w:cs="仿宋_GB2312"/>
                <w:sz w:val="22"/>
              </w:rPr>
              <w:t>最“数创”、最像技术决赛答辩。把项目归纳成“双模四步法：识别—诊断—推演—执行”，B作为“技术追问者”，每次只问一个模型关节。适合想把创新度和方法论抬高的一版。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P1：“两颗大脑，四步决策”——识别 / 诊断 / 推演 / 执行。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尊敬的各位领导、各位评委，大家好。2025年优秀数创项目给我们一个很深的启发：数字化真正的价值，不是让数据“看得见”，而是让决策“算得出、推得动、落得下”。围绕烤房，我们也一直追问两个问题：存量资产，怎样判断该用、该修、该退？新增投入，怎样判断该不该建、建在哪、未来是否还需要？为回答这两问，我们构建了“智烤管家”，核心不是三个应用模块，而是“</w:t>
      </w:r>
      <w:r>
        <w:rPr>
          <w:rFonts w:ascii="仿宋_GB2312" w:hAnsi="仿宋_GB2312" w:eastAsia="仿宋_GB2312" w:cs="仿宋_GB2312"/>
          <w:b/>
          <w:sz w:val="32"/>
        </w:rPr>
        <w:t>双模四步法</w:t>
      </w:r>
      <w:r>
        <w:rPr>
          <w:rFonts w:ascii="仿宋_GB2312" w:hAnsi="仿宋_GB2312" w:eastAsia="仿宋_GB2312" w:cs="仿宋_GB2312"/>
          <w:b w:val="0"/>
          <w:sz w:val="32"/>
        </w:rPr>
        <w:t>”——识别、诊断、推演、执行。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第一步，识别什么？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识别烤房的真实状态。我们建立烤房基础数据库，把位置、建设年度、部件状态、维修记录、使用情况、管护信息汇集到“一栋一档”。但有数据还不够，关键要把碎片数据变成一个可比较、可解释的健康状态。于是进入第二步——诊断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也就是说，“识别”不是做一个资产清单，而是先把后面建模需要的数据口径统一起来。没有一栋一档，健康分就没有可靠输入；没有维修历史和状态记录，后面的寿命判断也只能靠经验。第一步其实是在给两套模型打地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P2 数据底座→健康诊断模型。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健康评估模型采用“业务机理+数据校验”的思路。部件层面把状态和剩余寿命结合，整栋层面再叠加管护与人工评价；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负责把专家对重要性的判断量化，</w:t>
      </w:r>
      <w:r>
        <w:rPr>
          <w:rFonts w:ascii="仿宋_GB2312" w:hAnsi="仿宋_GB2312" w:eastAsia="仿宋_GB2312" w:cs="仿宋_GB2312"/>
          <w:b/>
          <w:sz w:val="32"/>
        </w:rPr>
        <w:t>熵权法</w:t>
      </w:r>
      <w:r>
        <w:rPr>
          <w:rFonts w:ascii="仿宋_GB2312" w:hAnsi="仿宋_GB2312" w:eastAsia="仿宋_GB2312" w:cs="仿宋_GB2312"/>
          <w:b w:val="0"/>
          <w:sz w:val="32"/>
        </w:rPr>
        <w:t>负责检验数据自身的差异度。更重要的是，我们设置结构件硬约束：结构件决定寿命上限，功能件决定运行质量，再叠加维修折损和健康校准，输出健康分、剩余寿命、四级预警和风险部件排序。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这和普通的“设备评分模型”最大的区别是什么？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普通评分往往只回答“现在几分”；我们进一步回答“为什么是这个分、还能用多久、先修哪里”。尤其是房龄约束避免了“老房换个新部件，健康分突然满血”的失真。我们把它概括成一句话：</w:t>
      </w:r>
      <w:r>
        <w:rPr>
          <w:rFonts w:ascii="仿宋_GB2312" w:hAnsi="仿宋_GB2312" w:eastAsia="仿宋_GB2312" w:cs="仿宋_GB2312"/>
          <w:b/>
          <w:sz w:val="32"/>
        </w:rPr>
        <w:t>维修可以续命，但不能回春</w:t>
      </w:r>
      <w:r>
        <w:rPr>
          <w:rFonts w:ascii="仿宋_GB2312" w:hAnsi="仿宋_GB2312" w:eastAsia="仿宋_GB2312" w:cs="仿宋_GB2312"/>
          <w:b w:val="0"/>
          <w:sz w:val="32"/>
        </w:rPr>
        <w:t>。模型结果已经支撑筛选210栋60分以下待修烤房，并精准完成150栋设备靶向修复。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我理解这一步和一般综合评分最大的不同，是它保留了工程约束。分数可以加权，但物理寿命不能无限加回来；模型既允许维修产生“恢复”，又不允许把十几年的结构老化一笔勾销，所以结果才敢拿去排维修优先级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P3 诊断输出四件套：健康分 / RUL / 预警 / 风险部件。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诊断完了，第三步为什么叫“推演”，而不是“排序”？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因为新增烤房不是一次静态评比，而是一个未来决策。我们的新建沙盘首先把健康模型结果转成“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”：健康、在用的房贡献高，闲置、损毁、低健康房按系数折减。然后把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与烟叶需求计算承载压力，再叠加村级发展指数、规模趋势、政策管护保障。</w:t>
      </w:r>
      <w:r>
        <w:rPr>
          <w:rFonts w:ascii="仿宋_GB2312" w:hAnsi="仿宋_GB2312" w:eastAsia="仿宋_GB2312" w:cs="仿宋_GB2312"/>
          <w:b/>
          <w:sz w:val="32"/>
        </w:rPr>
        <w:t>区位熵</w:t>
      </w:r>
      <w:r>
        <w:rPr>
          <w:rFonts w:ascii="仿宋_GB2312" w:hAnsi="仿宋_GB2312" w:eastAsia="仿宋_GB2312" w:cs="仿宋_GB2312"/>
          <w:b w:val="0"/>
          <w:sz w:val="32"/>
        </w:rPr>
        <w:t>负责横向识别相对缺口，</w:t>
      </w:r>
      <w:r>
        <w:rPr>
          <w:rFonts w:ascii="仿宋_GB2312" w:hAnsi="仿宋_GB2312" w:eastAsia="仿宋_GB2312" w:cs="仿宋_GB2312"/>
          <w:b/>
          <w:sz w:val="32"/>
        </w:rPr>
        <w:t>AHP</w:t>
      </w:r>
      <w:r>
        <w:rPr>
          <w:rFonts w:ascii="仿宋_GB2312" w:hAnsi="仿宋_GB2312" w:eastAsia="仿宋_GB2312" w:cs="仿宋_GB2312"/>
          <w:b w:val="0"/>
          <w:sz w:val="32"/>
        </w:rPr>
        <w:t>+熵权负责组合赋权，</w:t>
      </w:r>
      <w:r>
        <w:rPr>
          <w:rFonts w:ascii="仿宋_GB2312" w:hAnsi="仿宋_GB2312" w:eastAsia="仿宋_GB2312" w:cs="仿宋_GB2312"/>
          <w:b/>
          <w:sz w:val="32"/>
        </w:rPr>
        <w:t>TOPSIS</w:t>
      </w:r>
      <w:r>
        <w:rPr>
          <w:rFonts w:ascii="仿宋_GB2312" w:hAnsi="仿宋_GB2312" w:eastAsia="仿宋_GB2312" w:cs="仿宋_GB2312"/>
          <w:b w:val="0"/>
          <w:sz w:val="32"/>
        </w:rPr>
        <w:t>负责多准则排序。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还有沙盘。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对，沙盘才是这个模型的“前瞻雷达”。我们不是只算今天，而是预置当前、</w:t>
      </w:r>
      <w:r>
        <w:rPr>
          <w:rFonts w:ascii="仿宋_GB2312" w:hAnsi="仿宋_GB2312" w:eastAsia="仿宋_GB2312" w:cs="仿宋_GB2312"/>
          <w:b/>
          <w:sz w:val="32"/>
        </w:rPr>
        <w:t>增长2%、5%、10%</w:t>
      </w:r>
      <w:r>
        <w:rPr>
          <w:rFonts w:ascii="仿宋_GB2312" w:hAnsi="仿宋_GB2312" w:eastAsia="仿宋_GB2312" w:cs="仿宋_GB2312"/>
          <w:b w:val="0"/>
          <w:sz w:val="32"/>
        </w:rPr>
        <w:t>四种情景。每切换一种情景，系统会重新计算负载率、缺口和推荐优先级；在地图新增候选点后，又会反算新增后的承载改善幅度。这样我们回答的不只是“谁排名第一”，而是“如果未来这样发展，在哪补、补多少，结果会怎样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这也是“推演”和“预测”的区别。我们不是只报一个未来数值，而是让管理者主动改变假设：面积涨一点会怎样、修复一批旧房会怎样、增加一个候选点又会怎样。每改一个条件，系统重算一次，决策过程本身就能被验证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【PPT】 </w:t>
            </w:r>
            <w:r>
              <w:rPr>
                <w:rFonts w:ascii="仿宋_GB2312" w:hAnsi="仿宋_GB2312" w:eastAsia="仿宋_GB2312" w:cs="仿宋_GB2312"/>
                <w:sz w:val="22"/>
              </w:rPr>
              <w:t>P4 沙盘实时演示，强调“输入假设→重算结果→比较方案”。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这套模型用于2026年建设方案论证，争取县政府新建烤房29栋，其中肖家坪村7栋。它和健康模型构成一条非常关键的逻辑：先诊断存量、先调剂、先修复，仍有结构性缺口，再进入新增建设。也就是说，我们把过去相互分开的“维修钱”和“建设钱”，第一次放到同一个资源配置逻辑里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第四步，执行。模型算得再漂亮，如果落不到烟农手里，还是没有价值。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所以我们把结果封装进一个协同平台。烟农端可以预约调剂和一键报修；合作社端由调制、紧急抢修、日常管护、综合管理四支队伍执行；管理端根据健康和沙盘结果安排维修、新建和资金。磨坪50栋烤房截至9月5日累计完成115炕次、1380担，通过调剂增加约185担；8月雷击故障从预警、诊断到推荐配件和派工，全程不到3小时，比传统模式平均缩短约2小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2F2F2"/>
          </w:tcPr>
          <w:p>
            <w:pPr>
              <w:spacing w:after="0"/>
              <w:ind w:left="113" w:right="113"/>
            </w:pPr>
            <w:r>
              <w:rPr>
                <w:rFonts w:ascii="黑体" w:hAnsi="黑体" w:eastAsia="黑体" w:cs="黑体"/>
                <w:b/>
                <w:sz w:val="22"/>
              </w:rPr>
              <w:t xml:space="preserve">【视频】 </w:t>
            </w:r>
            <w:r>
              <w:rPr>
                <w:rFonts w:ascii="仿宋_GB2312" w:hAnsi="仿宋_GB2312" w:eastAsia="仿宋_GB2312" w:cs="仿宋_GB2312"/>
                <w:sz w:val="22"/>
              </w:rPr>
              <w:t>视频建议35秒：四步法一镜到底。①识别：一栋一档；②诊断：健康分与风险部件；③推演：5%增长沙盘重算；④执行：一键报修/调剂/工单闭环。</w:t>
            </w:r>
          </w:p>
        </w:tc>
      </w:tr>
    </w:tbl>
    <w:p>
      <w:pPr>
        <w:spacing w:after="0"/>
      </w:pP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各位评委，很多项目也有大屏、也有模型。我们的区别在于三个“不是”：健康分不是展示分，而是维修决策入口；新建排序不是静态榜单，而是可改变假设的情景推演；两个模型不是各算各的，而是用“</w:t>
      </w:r>
      <w:r>
        <w:rPr>
          <w:rFonts w:ascii="仿宋_GB2312" w:hAnsi="仿宋_GB2312" w:eastAsia="仿宋_GB2312" w:cs="仿宋_GB2312"/>
          <w:b/>
          <w:sz w:val="32"/>
        </w:rPr>
        <w:t>有效烤能</w:t>
      </w:r>
      <w:r>
        <w:rPr>
          <w:rFonts w:ascii="仿宋_GB2312" w:hAnsi="仿宋_GB2312" w:eastAsia="仿宋_GB2312" w:cs="仿宋_GB2312"/>
          <w:b w:val="0"/>
          <w:sz w:val="32"/>
        </w:rPr>
        <w:t>”前后咬合。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B：</w:t>
      </w:r>
      <w:r>
        <w:rPr>
          <w:rFonts w:ascii="仿宋_GB2312" w:hAnsi="仿宋_GB2312" w:eastAsia="仿宋_GB2312" w:cs="仿宋_GB2312"/>
          <w:sz w:val="32"/>
        </w:rPr>
        <w:t>识别，让家底真实；诊断，让风险可解释；推演，让投入可预判；执行，让模型真正落地。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b w:val="0"/>
          <w:sz w:val="32"/>
        </w:rPr>
        <w:t>从经验管理到模型决策，从单点应用到存量增量协同，这就是我们的“</w:t>
      </w:r>
      <w:r>
        <w:rPr>
          <w:rFonts w:ascii="仿宋_GB2312" w:hAnsi="仿宋_GB2312" w:eastAsia="仿宋_GB2312" w:cs="仿宋_GB2312"/>
          <w:b/>
          <w:sz w:val="32"/>
        </w:rPr>
        <w:t>双模四步法</w:t>
      </w:r>
      <w:r>
        <w:rPr>
          <w:rFonts w:ascii="仿宋_GB2312" w:hAnsi="仿宋_GB2312" w:eastAsia="仿宋_GB2312" w:cs="仿宋_GB2312"/>
          <w:b w:val="0"/>
          <w:sz w:val="32"/>
        </w:rPr>
        <w:t>”。</w:t>
      </w:r>
    </w:p>
    <w:p>
      <w:pPr>
        <w:spacing w:line="348" w:lineRule="auto" w:after="20"/>
        <w:ind w:left="85"/>
      </w:pPr>
      <w:r>
        <w:rPr>
          <w:rFonts w:ascii="黑体" w:hAnsi="黑体" w:eastAsia="黑体" w:cs="黑体"/>
          <w:b/>
          <w:sz w:val="32"/>
        </w:rPr>
        <w:t>A：</w:t>
      </w:r>
      <w:r>
        <w:rPr>
          <w:rFonts w:ascii="仿宋_GB2312" w:hAnsi="仿宋_GB2312" w:eastAsia="仿宋_GB2312" w:cs="仿宋_GB2312"/>
          <w:sz w:val="32"/>
        </w:rPr>
        <w:t>聚数成方，一脉致远，让烤房发挥最大价值。谢谢大家！</w:t>
      </w:r>
    </w:p>
    <w:p>
      <w:pPr>
        <w:pStyle w:val="Heading1"/>
        <w:spacing w:before="200" w:after="100"/>
      </w:pPr>
      <w:r>
        <w:t>五、排练重点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A不要用“论文答辩”的语速读算法名。每讲一个技术名词，必须紧跟一句“它解决什么问题”。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B只负责提问、转场、案例落地和关键句复述，不要连续讲大段技术，才能保持A约70%的主讲结构。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“AHP+熵权、区位熵、TOPSIS”建议只出现一次；评委若追问，再在答辩环节展开公式和参数。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主讲稿中最需要重音的不是算法名，而是：维修可以续命但不能回春；有效烤能；先盘活、再修复、仍有缺口才新建；两个模型前后耦合。</w:t>
      </w:r>
    </w:p>
    <w:p>
      <w:pPr>
        <w:ind w:left="397" w:hanging="198"/>
      </w:pPr>
      <w:r>
        <w:rPr>
          <w:rFonts w:ascii="仿宋_GB2312" w:hAnsi="仿宋_GB2312" w:eastAsia="仿宋_GB2312" w:cs="仿宋_GB2312"/>
          <w:b/>
          <w:sz w:val="28"/>
        </w:rPr>
        <w:t xml:space="preserve">• </w:t>
      </w:r>
      <w:r>
        <w:rPr>
          <w:rFonts w:ascii="仿宋_GB2312" w:hAnsi="仿宋_GB2312" w:eastAsia="仿宋_GB2312" w:cs="仿宋_GB2312"/>
          <w:sz w:val="28"/>
        </w:rPr>
        <w:t>视频必须展示“模型结果如何改变业务动作”，不要只录页面切换。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仿宋_GB2312" w:hAnsi="仿宋_GB2312" w:eastAsia="仿宋_GB2312" w:cs="仿宋_GB2312"/>
        <w:b w:val="0"/>
        <w:color w:val="646464"/>
        <w:sz w:val="18"/>
      </w:rPr>
      <w:t>湖北省创客大赛决赛 · 智烤管家发布材料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仿宋_GB2312" w:hAnsi="仿宋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方正小标宋简体" w:hAnsi="方正小标宋简体" w:eastAsia="方正小标宋简体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