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仿宋_GB2312" w:hAnsi="仿宋_GB2312" w:eastAsia="仿宋_GB2312" w:cs="仿宋_GB2312"/>
          <w:b w:val="0"/>
          <w:color w:val="505050"/>
          <w:sz w:val="28"/>
        </w:rPr>
        <w:t>智烤管家 · 湖北省创客大赛决赛发布稿（第5版）</w:t>
      </w:r>
    </w:p>
    <w:p>
      <w:pPr>
        <w:spacing w:after="360"/>
        <w:jc w:val="center"/>
      </w:pPr>
      <w:r>
        <w:t>V5_县域数字棋局版_视觉冲击最强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F2F2F2"/>
          </w:tcPr>
          <w:p>
            <w:pPr>
              <w:spacing w:after="0"/>
              <w:ind w:left="113" w:right="113"/>
            </w:pPr>
            <w:r>
              <w:rPr>
                <w:rFonts w:ascii="黑体" w:hAnsi="黑体" w:eastAsia="黑体" w:cs="黑体"/>
                <w:b/>
                <w:sz w:val="22"/>
              </w:rPr>
              <w:t xml:space="preserve">时长与角色： </w:t>
            </w:r>
            <w:r>
              <w:rPr>
                <w:rFonts w:ascii="仿宋_GB2312" w:hAnsi="仿宋_GB2312" w:eastAsia="仿宋_GB2312" w:cs="仿宋_GB2312"/>
                <w:sz w:val="22"/>
              </w:rPr>
              <w:t>目标口播约7分30秒–7分50秒；A约承担76%、B约承担24%。当前脚本汉字口播量约1347字，排练时以实际语速为准。</w:t>
            </w:r>
          </w:p>
        </w:tc>
      </w:tr>
    </w:tbl>
    <w:p>
      <w:pPr>
        <w:spacing w:after="0"/>
      </w:pPr>
    </w:p>
    <w:p>
      <w:pPr>
        <w:pStyle w:val="Heading1"/>
        <w:spacing w:before="200" w:after="100"/>
      </w:pPr>
      <w:r>
        <w:t>一、这一版为什么这样写</w:t>
      </w:r>
    </w:p>
    <w:p>
      <w:pPr>
        <w:spacing w:line="360" w:lineRule="auto" w:after="0"/>
        <w:ind w:firstLine="420"/>
      </w:pPr>
      <w:r>
        <w:rPr>
          <w:rFonts w:ascii="仿宋_GB2312" w:hAnsi="仿宋_GB2312" w:eastAsia="仿宋_GB2312" w:cs="仿宋_GB2312"/>
          <w:sz w:val="32"/>
        </w:rPr>
        <w:t>版本定位：以“县域资源棋局/动态沙盘”为视觉核心。适合PPT大屏和地图素材丰富的现场，能把健康模型、新建模型、调剂和管护全部落到一张县域地图上，视觉冲击力最强。</w:t>
      </w:r>
    </w:p>
    <w:p>
      <w:pPr>
        <w:pStyle w:val="Heading1"/>
        <w:spacing w:before="200" w:after="100"/>
      </w:pPr>
      <w:r>
        <w:t>二、8分钟节奏建议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vAlign w:val="center"/>
            <w:shd w:fill="D9E2F3"/>
          </w:tcPr>
          <w:p>
            <w:pPr>
              <w:spacing w:after="0"/>
            </w:pPr>
            <w:r/>
            <w:r>
              <w:rPr>
                <w:rFonts w:ascii="黑体" w:hAnsi="黑体" w:eastAsia="黑体" w:cs="黑体"/>
                <w:b/>
                <w:sz w:val="20"/>
              </w:rPr>
              <w:t>建议时间</w:t>
            </w:r>
          </w:p>
        </w:tc>
        <w:tc>
          <w:tcPr>
            <w:tcW w:type="dxa" w:w="2351"/>
            <w:vAlign w:val="center"/>
            <w:shd w:fill="D9E2F3"/>
          </w:tcPr>
          <w:p>
            <w:pPr>
              <w:spacing w:after="0"/>
            </w:pPr>
            <w:r/>
            <w:r>
              <w:rPr>
                <w:rFonts w:ascii="黑体" w:hAnsi="黑体" w:eastAsia="黑体" w:cs="黑体"/>
                <w:b/>
                <w:sz w:val="20"/>
              </w:rPr>
              <w:t>内容</w:t>
            </w:r>
          </w:p>
        </w:tc>
        <w:tc>
          <w:tcPr>
            <w:tcW w:type="dxa" w:w="2351"/>
            <w:vAlign w:val="center"/>
            <w:shd w:fill="D9E2F3"/>
          </w:tcPr>
          <w:p>
            <w:pPr>
              <w:spacing w:after="0"/>
            </w:pPr>
            <w:r/>
            <w:r>
              <w:rPr>
                <w:rFonts w:ascii="黑体" w:hAnsi="黑体" w:eastAsia="黑体" w:cs="黑体"/>
                <w:b/>
                <w:sz w:val="20"/>
              </w:rPr>
              <w:t>角色</w:t>
            </w:r>
          </w:p>
        </w:tc>
        <w:tc>
          <w:tcPr>
            <w:tcW w:type="dxa" w:w="2351"/>
            <w:vAlign w:val="center"/>
            <w:shd w:fill="D9E2F3"/>
          </w:tcPr>
          <w:p>
            <w:pPr>
              <w:spacing w:after="0"/>
            </w:pPr>
            <w:r/>
            <w:r>
              <w:rPr>
                <w:rFonts w:ascii="黑体" w:hAnsi="黑体" w:eastAsia="黑体" w:cs="黑体"/>
                <w:b/>
                <w:sz w:val="20"/>
              </w:rPr>
              <w:t>舞台任务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0:00–0:50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开场矛盾/故事钩子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A+B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第一分钟必须让评委知道“为什么要做”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0:50–1:25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总体架构/双模型定位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A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两个模型是主角，三智是落地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1:25–3:10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健康评估模型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A主+B追问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讲清输入、机理、输出和“不能回春”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3:10–4:50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新建沙盘推演模型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A主+B追问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讲清有效烤能、组合赋权、情景推演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4:50–5:25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视频演示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视频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30–40秒，不重复口播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5:25–6:35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平台落地/真实案例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A+B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磨坪调剂、雷击抢修、建设论证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6:35–7:25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创新总结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A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双模耦合、先修后建、闭环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7:25–7:50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收束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A+B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留10秒机动，禁止拖到8分钟整</w:t>
            </w:r>
          </w:p>
        </w:tc>
      </w:tr>
    </w:tbl>
    <w:p>
      <w:pPr>
        <w:pStyle w:val="Heading1"/>
        <w:spacing w:before="200" w:after="100"/>
      </w:pPr>
      <w:r>
        <w:t>三、PPT逐页配合方案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黑体" w:hAnsi="黑体" w:eastAsia="黑体" w:cs="黑体"/>
                <w:b/>
                <w:sz w:val="20"/>
              </w:rPr>
              <w:t>页码</w:t>
            </w:r>
          </w:p>
        </w:tc>
        <w:tc>
          <w:tcPr>
            <w:tcW w:type="dxa" w:w="313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黑体" w:hAnsi="黑体" w:eastAsia="黑体" w:cs="黑体"/>
                <w:b/>
                <w:sz w:val="20"/>
              </w:rPr>
              <w:t>屏幕内容</w:t>
            </w:r>
          </w:p>
        </w:tc>
        <w:tc>
          <w:tcPr>
            <w:tcW w:type="dxa" w:w="313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黑体" w:hAnsi="黑体" w:eastAsia="黑体" w:cs="黑体"/>
                <w:b/>
                <w:sz w:val="20"/>
              </w:rPr>
              <w:t>这一页只完成的任务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P1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县域资源棋局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视觉钩子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P2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地图三层：状态/健康/负载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数据地图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P3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单栋棋子真实战斗力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健康模型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P4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村级棋局动态沙盘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新建模型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P5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地图一镜到底视频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演示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P6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调剂/维修/新建结果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实效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P7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数量→有效能力；当前→未来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创新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P8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每一步都有依据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收束</w:t>
            </w:r>
          </w:p>
        </w:tc>
      </w:tr>
    </w:tbl>
    <w:p>
      <w:pPr>
        <w:pStyle w:val="Heading1"/>
        <w:spacing w:before="200" w:after="100"/>
      </w:pPr>
      <w:r>
        <w:t>四、双人正式发布稿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F2F2F2"/>
          </w:tcPr>
          <w:p>
            <w:pPr>
              <w:spacing w:after="0"/>
              <w:ind w:left="113" w:right="113"/>
            </w:pPr>
            <w:r>
              <w:rPr>
                <w:rFonts w:ascii="黑体" w:hAnsi="黑体" w:eastAsia="黑体" w:cs="黑体"/>
                <w:b/>
                <w:sz w:val="22"/>
              </w:rPr>
              <w:t xml:space="preserve">版本定位： </w:t>
            </w:r>
            <w:r>
              <w:rPr>
                <w:rFonts w:ascii="仿宋_GB2312" w:hAnsi="仿宋_GB2312" w:eastAsia="仿宋_GB2312" w:cs="仿宋_GB2312"/>
                <w:sz w:val="22"/>
              </w:rPr>
              <w:t>以“县域资源棋局/动态沙盘”为视觉核心。适合PPT大屏和地图素材丰富的现场，能把健康模型、新建模型、调剂和管护全部落到一张县域地图上，视觉冲击力最强。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F2F2F2"/>
          </w:tcPr>
          <w:p>
            <w:pPr>
              <w:spacing w:after="0"/>
              <w:ind w:left="113" w:right="113"/>
            </w:pPr>
            <w:r>
              <w:rPr>
                <w:rFonts w:ascii="黑体" w:hAnsi="黑体" w:eastAsia="黑体" w:cs="黑体"/>
                <w:b/>
                <w:sz w:val="22"/>
              </w:rPr>
              <w:t xml:space="preserve">【PPT】 </w:t>
            </w:r>
            <w:r>
              <w:rPr>
                <w:rFonts w:ascii="仿宋_GB2312" w:hAnsi="仿宋_GB2312" w:eastAsia="仿宋_GB2312" w:cs="仿宋_GB2312"/>
                <w:sz w:val="22"/>
              </w:rPr>
              <w:t>P1 县域地图缓慢点亮：每个点是一栋烤房。字幕：“2440+栋烤房，不是2440+个点，而是一盘动态资源棋局。”</w:t>
            </w:r>
          </w:p>
        </w:tc>
      </w:tr>
    </w:tbl>
    <w:p>
      <w:pPr>
        <w:spacing w:after="0"/>
      </w:pP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B：</w:t>
      </w:r>
      <w:r>
        <w:rPr>
          <w:rFonts w:ascii="仿宋_GB2312" w:hAnsi="仿宋_GB2312" w:eastAsia="仿宋_GB2312" w:cs="仿宋_GB2312"/>
          <w:sz w:val="32"/>
        </w:rPr>
        <w:t>如果把全县烤房放到一张地图上，会看到什么？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A：</w:t>
      </w:r>
      <w:r>
        <w:rPr>
          <w:rFonts w:ascii="仿宋_GB2312" w:hAnsi="仿宋_GB2312" w:eastAsia="仿宋_GB2312" w:cs="仿宋_GB2312"/>
          <w:sz w:val="32"/>
        </w:rPr>
        <w:t>会看到两千四百余个点。但在我们眼里，它们不是两千四百多个静止的资产编号，而是一盘每天都在变化的资源棋局：有的正在烘烤，有的空闲，有的健康，有的老化；今年这个村够用，明年烟叶规模一变，供需关系又会重新洗牌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A：</w:t>
      </w:r>
      <w:r>
        <w:rPr>
          <w:rFonts w:ascii="仿宋_GB2312" w:hAnsi="仿宋_GB2312" w:eastAsia="仿宋_GB2312" w:cs="仿宋_GB2312"/>
          <w:sz w:val="32"/>
        </w:rPr>
        <w:t>尊敬的各位领导、各位评委，大家好。面对这盘棋，过去我们常常靠经验落子：哪里紧张就协调，哪里坏了就修，哪里长期喊缺就考虑新建。我们的“智烤管家”，就是想把这盘棋从“凭经验走一步”变成“用模型先看三步”。核心是两个模型：健康评估模型看清每一枚“棋子”的真实战斗力，新建沙盘模型推演整个区域未来的供需变化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F2F2F2"/>
          </w:tcPr>
          <w:p>
            <w:pPr>
              <w:spacing w:after="0"/>
              <w:ind w:left="113" w:right="113"/>
            </w:pPr>
            <w:r>
              <w:rPr>
                <w:rFonts w:ascii="黑体" w:hAnsi="黑体" w:eastAsia="黑体" w:cs="黑体"/>
                <w:b/>
                <w:sz w:val="22"/>
              </w:rPr>
              <w:t xml:space="preserve">【PPT】 </w:t>
            </w:r>
            <w:r>
              <w:rPr>
                <w:rFonts w:ascii="仿宋_GB2312" w:hAnsi="仿宋_GB2312" w:eastAsia="仿宋_GB2312" w:cs="仿宋_GB2312"/>
                <w:sz w:val="22"/>
              </w:rPr>
              <w:t>P2 地图分层：健康等级、使用状态、村级负载三层切换。</w:t>
            </w:r>
          </w:p>
        </w:tc>
      </w:tr>
    </w:tbl>
    <w:p>
      <w:pPr>
        <w:spacing w:after="0"/>
      </w:pP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A：</w:t>
      </w:r>
      <w:r>
        <w:rPr>
          <w:rFonts w:ascii="仿宋_GB2312" w:hAnsi="仿宋_GB2312" w:eastAsia="仿宋_GB2312" w:cs="仿宋_GB2312"/>
          <w:b w:val="0"/>
          <w:sz w:val="32"/>
        </w:rPr>
        <w:t>先看第一层——单栋烤房。我们把关键部件状态、剩余寿命、维修记录、管护制度和人工评价汇总，形成健康分。权重用</w:t>
      </w:r>
      <w:r>
        <w:rPr>
          <w:rFonts w:ascii="仿宋_GB2312" w:hAnsi="仿宋_GB2312" w:eastAsia="仿宋_GB2312" w:cs="仿宋_GB2312"/>
          <w:b/>
          <w:sz w:val="32"/>
        </w:rPr>
        <w:t>AHP</w:t>
      </w:r>
      <w:r>
        <w:rPr>
          <w:rFonts w:ascii="仿宋_GB2312" w:hAnsi="仿宋_GB2312" w:eastAsia="仿宋_GB2312" w:cs="仿宋_GB2312"/>
          <w:b w:val="0"/>
          <w:sz w:val="32"/>
        </w:rPr>
        <w:t>把业务专家判断结构化，再用</w:t>
      </w:r>
      <w:r>
        <w:rPr>
          <w:rFonts w:ascii="仿宋_GB2312" w:hAnsi="仿宋_GB2312" w:eastAsia="仿宋_GB2312" w:cs="仿宋_GB2312"/>
          <w:b/>
          <w:sz w:val="32"/>
        </w:rPr>
        <w:t>熵权法</w:t>
      </w:r>
      <w:r>
        <w:rPr>
          <w:rFonts w:ascii="仿宋_GB2312" w:hAnsi="仿宋_GB2312" w:eastAsia="仿宋_GB2312" w:cs="仿宋_GB2312"/>
          <w:b w:val="0"/>
          <w:sz w:val="32"/>
        </w:rPr>
        <w:t>做客观校验。这里有一个很关键的设计：结构件和功能件不混成一锅。结构件决定寿命硬上限，功能件决定当前好不好用，维修记录体现“修过几次、什么时候修”，再结合房龄和健康校准，算出剩余寿命和风险部件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B：</w:t>
      </w:r>
      <w:r>
        <w:rPr>
          <w:rFonts w:ascii="仿宋_GB2312" w:hAnsi="仿宋_GB2312" w:eastAsia="仿宋_GB2312" w:cs="仿宋_GB2312"/>
          <w:sz w:val="32"/>
        </w:rPr>
        <w:t>所以地图上一个红点，不只是“低于60分”，还能点进去看它为什么红。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A：</w:t>
      </w:r>
      <w:r>
        <w:rPr>
          <w:rFonts w:ascii="仿宋_GB2312" w:hAnsi="仿宋_GB2312" w:eastAsia="仿宋_GB2312" w:cs="仿宋_GB2312"/>
          <w:sz w:val="32"/>
        </w:rPr>
        <w:t>对。哪一类部件风险最高、预计还能用几年、是否进入维修计划，都能继续穿透。项目依托这一模型筛选出210栋60分以下待修烤房，并精准完成150栋设备靶向修复。修复以后，地图上的资源能力也会跟着变化。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F2F2F2"/>
          </w:tcPr>
          <w:p>
            <w:pPr>
              <w:spacing w:after="0"/>
              <w:ind w:left="113" w:right="113"/>
            </w:pPr>
            <w:r>
              <w:rPr>
                <w:rFonts w:ascii="黑体" w:hAnsi="黑体" w:eastAsia="黑体" w:cs="黑体"/>
                <w:b/>
                <w:sz w:val="22"/>
              </w:rPr>
              <w:t xml:space="preserve">【PPT】 </w:t>
            </w:r>
            <w:r>
              <w:rPr>
                <w:rFonts w:ascii="仿宋_GB2312" w:hAnsi="仿宋_GB2312" w:eastAsia="仿宋_GB2312" w:cs="仿宋_GB2312"/>
                <w:sz w:val="22"/>
              </w:rPr>
              <w:t>P3 点开红色烤房→健康分→RUL→风险部件→维修优先级。</w:t>
            </w:r>
          </w:p>
        </w:tc>
      </w:tr>
    </w:tbl>
    <w:p>
      <w:pPr>
        <w:spacing w:after="0"/>
      </w:pP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A：</w:t>
      </w:r>
      <w:r>
        <w:rPr>
          <w:rFonts w:ascii="仿宋_GB2312" w:hAnsi="仿宋_GB2312" w:eastAsia="仿宋_GB2312" w:cs="仿宋_GB2312"/>
          <w:b w:val="0"/>
          <w:sz w:val="32"/>
        </w:rPr>
        <w:t>接下来，把镜头从一栋房拉到一个村。传统计算容易犯一个错误：地图上有100栋，就认为拥有100栋烤能。但如果其中一部分闲置、损毁、健康水平低，纸面数量和真实能力完全不是一回事。于是第二个模型先用健康分×容量×使用状态，把每栋折算成“</w:t>
      </w:r>
      <w:r>
        <w:rPr>
          <w:rFonts w:ascii="仿宋_GB2312" w:hAnsi="仿宋_GB2312" w:eastAsia="仿宋_GB2312" w:cs="仿宋_GB2312"/>
          <w:b/>
          <w:sz w:val="32"/>
        </w:rPr>
        <w:t>有效烤能</w:t>
      </w:r>
      <w:r>
        <w:rPr>
          <w:rFonts w:ascii="仿宋_GB2312" w:hAnsi="仿宋_GB2312" w:eastAsia="仿宋_GB2312" w:cs="仿宋_GB2312"/>
          <w:b w:val="0"/>
          <w:sz w:val="32"/>
        </w:rPr>
        <w:t>”。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B：</w:t>
      </w:r>
      <w:r>
        <w:rPr>
          <w:rFonts w:ascii="仿宋_GB2312" w:hAnsi="仿宋_GB2312" w:eastAsia="仿宋_GB2312" w:cs="仿宋_GB2312"/>
          <w:b w:val="0"/>
          <w:sz w:val="32"/>
        </w:rPr>
        <w:t>在大屏上这个差别会非常直观：数量图上两个村可能都有100栋，但切到“</w:t>
      </w:r>
      <w:r>
        <w:rPr>
          <w:rFonts w:ascii="仿宋_GB2312" w:hAnsi="仿宋_GB2312" w:eastAsia="仿宋_GB2312" w:cs="仿宋_GB2312"/>
          <w:b/>
          <w:sz w:val="32"/>
        </w:rPr>
        <w:t>有效烤能</w:t>
      </w:r>
      <w:r>
        <w:rPr>
          <w:rFonts w:ascii="仿宋_GB2312" w:hAnsi="仿宋_GB2312" w:eastAsia="仿宋_GB2312" w:cs="仿宋_GB2312"/>
          <w:b w:val="0"/>
          <w:sz w:val="32"/>
        </w:rPr>
        <w:t>”图层，一个仍然是绿色，另一个可能已经进入高负载区。评委不用看公式，也能马上理解为什么“有房”不等于“有能力”。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B：</w:t>
      </w:r>
      <w:r>
        <w:rPr>
          <w:rFonts w:ascii="仿宋_GB2312" w:hAnsi="仿宋_GB2312" w:eastAsia="仿宋_GB2312" w:cs="仿宋_GB2312"/>
          <w:sz w:val="32"/>
        </w:rPr>
        <w:t>棋子不是都一样值钱。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A：</w:t>
      </w:r>
      <w:r>
        <w:rPr>
          <w:rFonts w:ascii="仿宋_GB2312" w:hAnsi="仿宋_GB2312" w:eastAsia="仿宋_GB2312" w:cs="仿宋_GB2312"/>
          <w:b w:val="0"/>
          <w:sz w:val="32"/>
        </w:rPr>
        <w:t>正是。然后，我们把</w:t>
      </w:r>
      <w:r>
        <w:rPr>
          <w:rFonts w:ascii="仿宋_GB2312" w:hAnsi="仿宋_GB2312" w:eastAsia="仿宋_GB2312" w:cs="仿宋_GB2312"/>
          <w:b/>
          <w:sz w:val="32"/>
        </w:rPr>
        <w:t>有效烤能</w:t>
      </w:r>
      <w:r>
        <w:rPr>
          <w:rFonts w:ascii="仿宋_GB2312" w:hAnsi="仿宋_GB2312" w:eastAsia="仿宋_GB2312" w:cs="仿宋_GB2312"/>
          <w:b w:val="0"/>
          <w:sz w:val="32"/>
        </w:rPr>
        <w:t>与烟叶需求计算承载压力，再加入发展指数、规模趋势和政策管护保障。</w:t>
      </w:r>
      <w:r>
        <w:rPr>
          <w:rFonts w:ascii="仿宋_GB2312" w:hAnsi="仿宋_GB2312" w:eastAsia="仿宋_GB2312" w:cs="仿宋_GB2312"/>
          <w:b/>
          <w:sz w:val="32"/>
        </w:rPr>
        <w:t>区位熵</w:t>
      </w:r>
      <w:r>
        <w:rPr>
          <w:rFonts w:ascii="仿宋_GB2312" w:hAnsi="仿宋_GB2312" w:eastAsia="仿宋_GB2312" w:cs="仿宋_GB2312"/>
          <w:b w:val="0"/>
          <w:sz w:val="32"/>
        </w:rPr>
        <w:t>帮助我们和全县水平横向比较，识别是真短缺还是局部拥挤；</w:t>
      </w:r>
      <w:r>
        <w:rPr>
          <w:rFonts w:ascii="仿宋_GB2312" w:hAnsi="仿宋_GB2312" w:eastAsia="仿宋_GB2312" w:cs="仿宋_GB2312"/>
          <w:b/>
          <w:sz w:val="32"/>
        </w:rPr>
        <w:t>AHP</w:t>
      </w:r>
      <w:r>
        <w:rPr>
          <w:rFonts w:ascii="仿宋_GB2312" w:hAnsi="仿宋_GB2312" w:eastAsia="仿宋_GB2312" w:cs="仿宋_GB2312"/>
          <w:b w:val="0"/>
          <w:sz w:val="32"/>
        </w:rPr>
        <w:t>和熵权组合定权，</w:t>
      </w:r>
      <w:r>
        <w:rPr>
          <w:rFonts w:ascii="仿宋_GB2312" w:hAnsi="仿宋_GB2312" w:eastAsia="仿宋_GB2312" w:cs="仿宋_GB2312"/>
          <w:b/>
          <w:sz w:val="32"/>
        </w:rPr>
        <w:t>TOPSIS</w:t>
      </w:r>
      <w:r>
        <w:rPr>
          <w:rFonts w:ascii="仿宋_GB2312" w:hAnsi="仿宋_GB2312" w:eastAsia="仿宋_GB2312" w:cs="仿宋_GB2312"/>
          <w:b w:val="0"/>
          <w:sz w:val="32"/>
        </w:rPr>
        <w:t>寻找更接近理想状态的候选村和候选点。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A：</w:t>
      </w:r>
      <w:r>
        <w:rPr>
          <w:rFonts w:ascii="仿宋_GB2312" w:hAnsi="仿宋_GB2312" w:eastAsia="仿宋_GB2312" w:cs="仿宋_GB2312"/>
          <w:b w:val="0"/>
          <w:sz w:val="32"/>
        </w:rPr>
        <w:t>但真正让这张地图“活起来”的，是沙盘。屏幕上把烟叶规模切到</w:t>
      </w:r>
      <w:r>
        <w:rPr>
          <w:rFonts w:ascii="仿宋_GB2312" w:hAnsi="仿宋_GB2312" w:eastAsia="仿宋_GB2312" w:cs="仿宋_GB2312"/>
          <w:b/>
          <w:sz w:val="32"/>
        </w:rPr>
        <w:t>增长2%、5%、10%</w:t>
      </w:r>
      <w:r>
        <w:rPr>
          <w:rFonts w:ascii="仿宋_GB2312" w:hAnsi="仿宋_GB2312" w:eastAsia="仿宋_GB2312" w:cs="仿宋_GB2312"/>
          <w:b w:val="0"/>
          <w:sz w:val="32"/>
        </w:rPr>
        <w:t>，村级负载和推荐榜实时变化；在地图上放入一个新增点，系统再算一次——新增后压力降了多少、周边村是否仍有缺口。管理者可以在花钱之前，先在屏幕上把方案走一遍。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B：</w:t>
      </w:r>
      <w:r>
        <w:rPr>
          <w:rFonts w:ascii="仿宋_GB2312" w:hAnsi="仿宋_GB2312" w:eastAsia="仿宋_GB2312" w:cs="仿宋_GB2312"/>
          <w:sz w:val="32"/>
        </w:rPr>
        <w:t>我可以现场做一次操作：先点“增长5%”，看哪些村由黄变红；再落下一个候选点，看负载有没有回落。如果回落不明显，这个点就不是好方案。沙盘把过去会议桌上的争论，变成屏幕上可以比较的方案。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F2F2F2"/>
          </w:tcPr>
          <w:p>
            <w:pPr>
              <w:spacing w:after="0"/>
              <w:ind w:left="113" w:right="113"/>
            </w:pPr>
            <w:r>
              <w:rPr>
                <w:rFonts w:ascii="黑体" w:hAnsi="黑体" w:eastAsia="黑体" w:cs="黑体"/>
                <w:b/>
                <w:sz w:val="22"/>
              </w:rPr>
              <w:t xml:space="preserve">【PPT】 </w:t>
            </w:r>
            <w:r>
              <w:rPr>
                <w:rFonts w:ascii="仿宋_GB2312" w:hAnsi="仿宋_GB2312" w:eastAsia="仿宋_GB2312" w:cs="仿宋_GB2312"/>
                <w:sz w:val="22"/>
              </w:rPr>
              <w:t>P4 全屏地图沙盘：情景按钮＋气泡大小代表负载，新增点落下后气泡缩小。</w:t>
            </w:r>
          </w:p>
        </w:tc>
      </w:tr>
    </w:tbl>
    <w:p>
      <w:pPr>
        <w:spacing w:after="0"/>
      </w:pP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B：</w:t>
      </w:r>
      <w:r>
        <w:rPr>
          <w:rFonts w:ascii="仿宋_GB2312" w:hAnsi="仿宋_GB2312" w:eastAsia="仿宋_GB2312" w:cs="仿宋_GB2312"/>
          <w:sz w:val="32"/>
        </w:rPr>
        <w:t>这就像下棋之前先看几种变化，而不是落子以后才发现走错了。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A：</w:t>
      </w:r>
      <w:r>
        <w:rPr>
          <w:rFonts w:ascii="仿宋_GB2312" w:hAnsi="仿宋_GB2312" w:eastAsia="仿宋_GB2312" w:cs="仿宋_GB2312"/>
          <w:sz w:val="32"/>
        </w:rPr>
        <w:t>所以我们形成了一条“先盘活、再修复、后新建”的次序。这套方法用于2026年建设方案论证，争取县政府新建29栋，其中肖家坪村7栋。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B：</w:t>
      </w:r>
      <w:r>
        <w:rPr>
          <w:rFonts w:ascii="仿宋_GB2312" w:hAnsi="仿宋_GB2312" w:eastAsia="仿宋_GB2312" w:cs="仿宋_GB2312"/>
          <w:sz w:val="32"/>
        </w:rPr>
        <w:t>这样一来，“建在哪里”也不再只听谁的声音大。先看存量能不能调、能不能修，再看未来缺口是否持续，最后再比较候选点。每一次落子之前，都先把代价和收益算一遍。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F2F2F2"/>
          </w:tcPr>
          <w:p>
            <w:pPr>
              <w:spacing w:after="0"/>
              <w:ind w:left="113" w:right="113"/>
            </w:pPr>
            <w:r>
              <w:rPr>
                <w:rFonts w:ascii="黑体" w:hAnsi="黑体" w:eastAsia="黑体" w:cs="黑体"/>
                <w:b/>
                <w:sz w:val="22"/>
              </w:rPr>
              <w:t xml:space="preserve">【视频】 </w:t>
            </w:r>
            <w:r>
              <w:rPr>
                <w:rFonts w:ascii="仿宋_GB2312" w:hAnsi="仿宋_GB2312" w:eastAsia="仿宋_GB2312" w:cs="仿宋_GB2312"/>
                <w:sz w:val="22"/>
              </w:rPr>
              <w:t>视频建议40秒：地图为唯一主画面。①空闲烤房被调剂，点位由灰变绿；②低健康烤房点开并触发维修；③5%增长情景下某村气泡变红；④新增候选点后负载回落；⑤工单闭环。</w:t>
            </w:r>
          </w:p>
        </w:tc>
      </w:tr>
    </w:tbl>
    <w:p>
      <w:pPr>
        <w:spacing w:after="0"/>
      </w:pP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A：</w:t>
      </w:r>
      <w:r>
        <w:rPr>
          <w:rFonts w:ascii="仿宋_GB2312" w:hAnsi="仿宋_GB2312" w:eastAsia="仿宋_GB2312" w:cs="仿宋_GB2312"/>
          <w:sz w:val="32"/>
        </w:rPr>
        <w:t>模型落地以后，这盘棋还需要有人执行。烟农端通过小程序找房、报修；合作社端四支队伍接单、抢修、养护；管理端看健康、看寿命、看沙盘、看资金。磨坪50栋烤房截至9月5日累计完成115炕次、1380担，通过调剂增加约185担。8月雷击故障时，平台自动推荐就近配件资源并派工，全程不到3小时，比传统模式平均缩短约2小时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A：</w:t>
      </w:r>
      <w:r>
        <w:rPr>
          <w:rFonts w:ascii="仿宋_GB2312" w:hAnsi="仿宋_GB2312" w:eastAsia="仿宋_GB2312" w:cs="仿宋_GB2312"/>
          <w:sz w:val="32"/>
        </w:rPr>
        <w:t>各位评委，我们真正想改变的，是看待烤房资源的方式：过去看“数量”，现在看“有效能力”；过去看“当前”，现在看“未来情景”；过去维修和新建各管一段，现在两个模型前后联动。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B：</w:t>
      </w:r>
      <w:r>
        <w:rPr>
          <w:rFonts w:ascii="仿宋_GB2312" w:hAnsi="仿宋_GB2312" w:eastAsia="仿宋_GB2312" w:cs="仿宋_GB2312"/>
          <w:sz w:val="32"/>
        </w:rPr>
        <w:t>让每个点都有状态，让每一步都有依据。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A：</w:t>
      </w:r>
      <w:r>
        <w:rPr>
          <w:rFonts w:ascii="仿宋_GB2312" w:hAnsi="仿宋_GB2312" w:eastAsia="仿宋_GB2312" w:cs="仿宋_GB2312"/>
          <w:sz w:val="32"/>
        </w:rPr>
        <w:t>让有限的烤房资源，在最需要的时候出现在最需要的地方；让有限的建设资金，投到最有持续价值的地方。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A：</w:t>
      </w:r>
      <w:r>
        <w:rPr>
          <w:rFonts w:ascii="仿宋_GB2312" w:hAnsi="仿宋_GB2312" w:eastAsia="仿宋_GB2312" w:cs="仿宋_GB2312"/>
          <w:sz w:val="32"/>
        </w:rPr>
        <w:t>这，就是智烤管家的一盘“数字棋局”。谢谢大家！</w:t>
      </w:r>
    </w:p>
    <w:p>
      <w:pPr>
        <w:pStyle w:val="Heading1"/>
        <w:spacing w:before="200" w:after="100"/>
      </w:pPr>
      <w:r>
        <w:t>五、排练重点</w:t>
      </w:r>
    </w:p>
    <w:p>
      <w:pPr>
        <w:ind w:left="397" w:hanging="198"/>
      </w:pPr>
      <w:r>
        <w:rPr>
          <w:rFonts w:ascii="仿宋_GB2312" w:hAnsi="仿宋_GB2312" w:eastAsia="仿宋_GB2312" w:cs="仿宋_GB2312"/>
          <w:b/>
          <w:sz w:val="28"/>
        </w:rPr>
        <w:t xml:space="preserve">• </w:t>
      </w:r>
      <w:r>
        <w:rPr>
          <w:rFonts w:ascii="仿宋_GB2312" w:hAnsi="仿宋_GB2312" w:eastAsia="仿宋_GB2312" w:cs="仿宋_GB2312"/>
          <w:sz w:val="28"/>
        </w:rPr>
        <w:t>A不要用“论文答辩”的语速读算法名。每讲一个技术名词，必须紧跟一句“它解决什么问题”。</w:t>
      </w:r>
    </w:p>
    <w:p>
      <w:pPr>
        <w:ind w:left="397" w:hanging="198"/>
      </w:pPr>
      <w:r>
        <w:rPr>
          <w:rFonts w:ascii="仿宋_GB2312" w:hAnsi="仿宋_GB2312" w:eastAsia="仿宋_GB2312" w:cs="仿宋_GB2312"/>
          <w:b/>
          <w:sz w:val="28"/>
        </w:rPr>
        <w:t xml:space="preserve">• </w:t>
      </w:r>
      <w:r>
        <w:rPr>
          <w:rFonts w:ascii="仿宋_GB2312" w:hAnsi="仿宋_GB2312" w:eastAsia="仿宋_GB2312" w:cs="仿宋_GB2312"/>
          <w:sz w:val="28"/>
        </w:rPr>
        <w:t>B只负责提问、转场、案例落地和关键句复述，不要连续讲大段技术，才能保持A约70%的主讲结构。</w:t>
      </w:r>
    </w:p>
    <w:p>
      <w:pPr>
        <w:ind w:left="397" w:hanging="198"/>
      </w:pPr>
      <w:r>
        <w:rPr>
          <w:rFonts w:ascii="仿宋_GB2312" w:hAnsi="仿宋_GB2312" w:eastAsia="仿宋_GB2312" w:cs="仿宋_GB2312"/>
          <w:b/>
          <w:sz w:val="28"/>
        </w:rPr>
        <w:t xml:space="preserve">• </w:t>
      </w:r>
      <w:r>
        <w:rPr>
          <w:rFonts w:ascii="仿宋_GB2312" w:hAnsi="仿宋_GB2312" w:eastAsia="仿宋_GB2312" w:cs="仿宋_GB2312"/>
          <w:sz w:val="28"/>
        </w:rPr>
        <w:t>“AHP+熵权、区位熵、TOPSIS”建议只出现一次；评委若追问，再在答辩环节展开公式和参数。</w:t>
      </w:r>
    </w:p>
    <w:p>
      <w:pPr>
        <w:ind w:left="397" w:hanging="198"/>
      </w:pPr>
      <w:r>
        <w:rPr>
          <w:rFonts w:ascii="仿宋_GB2312" w:hAnsi="仿宋_GB2312" w:eastAsia="仿宋_GB2312" w:cs="仿宋_GB2312"/>
          <w:b/>
          <w:sz w:val="28"/>
        </w:rPr>
        <w:t xml:space="preserve">• </w:t>
      </w:r>
      <w:r>
        <w:rPr>
          <w:rFonts w:ascii="仿宋_GB2312" w:hAnsi="仿宋_GB2312" w:eastAsia="仿宋_GB2312" w:cs="仿宋_GB2312"/>
          <w:sz w:val="28"/>
        </w:rPr>
        <w:t>主讲稿中最需要重音的不是算法名，而是：维修可以续命但不能回春；有效烤能；先盘活、再修复、仍有缺口才新建；两个模型前后耦合。</w:t>
      </w:r>
    </w:p>
    <w:p>
      <w:pPr>
        <w:ind w:left="397" w:hanging="198"/>
      </w:pPr>
      <w:r>
        <w:rPr>
          <w:rFonts w:ascii="仿宋_GB2312" w:hAnsi="仿宋_GB2312" w:eastAsia="仿宋_GB2312" w:cs="仿宋_GB2312"/>
          <w:b/>
          <w:sz w:val="28"/>
        </w:rPr>
        <w:t xml:space="preserve">• </w:t>
      </w:r>
      <w:r>
        <w:rPr>
          <w:rFonts w:ascii="仿宋_GB2312" w:hAnsi="仿宋_GB2312" w:eastAsia="仿宋_GB2312" w:cs="仿宋_GB2312"/>
          <w:sz w:val="28"/>
        </w:rPr>
        <w:t>视频必须展示“模型结果如何改变业务动作”，不要只录页面切换。</w:t>
      </w:r>
    </w:p>
    <w:sectPr w:rsidR="00FC693F" w:rsidRPr="0006063C" w:rsidSect="00034616">
      <w:footerReference w:type="default" r:id="rId9"/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仿宋_GB2312" w:hAnsi="仿宋_GB2312" w:eastAsia="仿宋_GB2312" w:cs="仿宋_GB2312"/>
        <w:b w:val="0"/>
        <w:color w:val="646464"/>
        <w:sz w:val="18"/>
      </w:rPr>
      <w:t>湖北省创客大赛决赛 · 智烤管家发布材料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仿宋_GB2312" w:hAnsi="仿宋_GB2312" w:eastAsia="仿宋_GB2312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方正小标宋简体" w:hAnsi="方正小标宋简体" w:eastAsia="方正小标宋简体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