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/>
        <w:bidi w:val="0"/>
        <w:spacing w:before="200" w:after="120"/>
        <w:ind w:left="0" w:right="0"/>
        <w:jc w:val="center"/>
        <w:rPr/>
      </w:pPr>
      <w:r>
        <w:rPr>
          <w:color w:val="000000"/>
          <w:sz w:val="40"/>
        </w:rPr>
        <w:t>调查问卷设计规范与模板</w:t>
      </w:r>
    </w:p>
    <w:p>
      <w:pPr>
        <w:pStyle w:val="BodyTextnote"/>
        <w:bidi w:val="0"/>
        <w:spacing w:after="120"/>
        <w:ind w:left="0" w:right="0"/>
        <w:rPr/>
      </w:pPr>
      <w:r>
        <w:rPr>
          <w:color w:val="000000"/>
        </w:rPr>
        <w:t>本模板用于统计学虚拟仿真实验的受访者视角试填。请根据研究问题、目标总体和分析单位改写占位内容；试填答案用于交互自检，不进入后续总体抽样估计。完成自填不代表通过认知预试、信度或效度验证。</w:t>
      </w:r>
    </w:p>
    <w:p>
      <w:pPr>
        <w:pStyle w:val="Heading2"/>
        <w:keepNext/>
        <w:bidi w:val="0"/>
        <w:spacing w:after="120" w:before="200"/>
        <w:ind w:left="0" w:right="0"/>
        <w:rPr/>
      </w:pPr>
      <w:r>
        <w:rPr>
          <w:color w:val="000000"/>
          <w:sz w:val="28"/>
        </w:rPr>
        <w:t>一、封面信与填写说明</w:t>
      </w:r>
    </w:p>
    <w:p>
      <w:pPr>
        <w:pStyle w:val="BodyText"/>
        <w:bidi w:val="0"/>
        <w:spacing w:after="120"/>
        <w:ind w:hanging="0" w:start="0" w:end="0" w:left="0" w:right="0"/>
        <w:rPr/>
      </w:pPr>
      <w:r>
        <w:rPr>
          <w:rStyle w:val="Strong"/>
          <w:color w:val="000000"/>
        </w:rPr>
        <w:t>问卷标题：</w:t>
      </w:r>
      <w:r>
        <w:rPr>
          <w:color w:val="000000"/>
        </w:rPr>
        <w:t>关于【研究主题】的调查问卷</w:t>
      </w:r>
    </w:p>
    <w:p>
      <w:pPr>
        <w:pStyle w:val="BodyText"/>
        <w:bidi w:val="0"/>
        <w:spacing w:after="120"/>
        <w:ind w:hanging="0" w:start="0" w:end="0" w:left="0" w:right="0"/>
        <w:rPr/>
      </w:pPr>
      <w:r>
        <w:rPr>
          <w:color w:val="000000"/>
        </w:rPr>
        <w:t>您好！我们正在开展</w:t>
      </w:r>
      <w:r>
        <w:rPr>
          <w:color w:val="000000"/>
        </w:rPr>
        <w:t>【调查目的】</w:t>
      </w:r>
      <w:r>
        <w:rPr>
          <w:color w:val="000000"/>
        </w:rPr>
        <w:t>。本问卷面向</w:t>
      </w:r>
      <w:r>
        <w:rPr>
          <w:color w:val="000000"/>
        </w:rPr>
        <w:t>【目标人群】</w:t>
      </w:r>
      <w:r>
        <w:rPr>
          <w:color w:val="000000"/>
        </w:rPr>
        <w:t>，预计用时</w:t>
      </w:r>
      <w:r>
        <w:rPr>
          <w:color w:val="000000"/>
        </w:rPr>
        <w:t>【</w:t>
      </w:r>
      <w:r>
        <w:rPr>
          <w:color w:val="000000"/>
        </w:rPr>
        <w:t>3–5</w:t>
      </w:r>
      <w:r>
        <w:rPr>
          <w:color w:val="000000"/>
        </w:rPr>
        <w:t>】</w:t>
      </w:r>
      <w:r>
        <w:rPr>
          <w:color w:val="000000"/>
        </w:rPr>
        <w:t>分钟。参与完全自愿，您可以跳过不愿回答的问题或随时退出。数据仅用于</w:t>
      </w:r>
      <w:r>
        <w:rPr>
          <w:color w:val="000000"/>
        </w:rPr>
        <w:t>【教学</w:t>
      </w:r>
      <w:r>
        <w:rPr>
          <w:color w:val="000000"/>
        </w:rPr>
        <w:t>/</w:t>
      </w:r>
      <w:r>
        <w:rPr>
          <w:color w:val="000000"/>
        </w:rPr>
        <w:t>研究用途】</w:t>
      </w:r>
      <w:r>
        <w:rPr>
          <w:color w:val="000000"/>
        </w:rPr>
        <w:t>，结果将以汇总形式呈现，不收集与研究无关的身份信息。</w:t>
      </w:r>
    </w:p>
    <w:p>
      <w:pPr>
        <w:pStyle w:val="BodyText"/>
        <w:bidi w:val="0"/>
        <w:spacing w:after="120"/>
        <w:ind w:left="0" w:right="0"/>
        <w:rPr/>
      </w:pPr>
      <w:r>
        <w:rPr>
          <w:rStyle w:val="Strong"/>
          <w:color w:val="000000"/>
        </w:rPr>
        <w:t>填写方法：</w:t>
      </w:r>
      <w:r>
        <w:rPr>
          <w:color w:val="000000"/>
        </w:rPr>
        <w:t>除特别说明外，请选择最符合实际情况的答案。涉及频率或经历的题目必须注明统一时间范围。</w:t>
      </w:r>
    </w:p>
    <w:p>
      <w:pPr>
        <w:pStyle w:val="Heading2"/>
        <w:keepNext/>
        <w:bidi w:val="0"/>
        <w:spacing w:after="120" w:before="200"/>
        <w:ind w:left="0" w:right="0"/>
        <w:rPr/>
      </w:pPr>
      <w:r>
        <w:rPr>
          <w:color w:val="000000"/>
          <w:sz w:val="28"/>
        </w:rPr>
        <w:t>二、甄别题</w:t>
      </w:r>
    </w:p>
    <w:p>
      <w:pPr>
        <w:pStyle w:val="BodyText"/>
        <w:bidi w:val="0"/>
        <w:spacing w:after="120"/>
        <w:ind w:left="0" w:right="0"/>
        <w:rPr/>
      </w:pPr>
      <w:r>
        <w:rPr>
          <w:color w:val="000000"/>
        </w:rPr>
        <w:t>甄别题用于判断答题者是否属于目标总体，不应被用来诱导答案。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start="709" w:end="0" w:left="0" w:right="0"/>
        <w:rPr/>
      </w:pPr>
      <w:r>
        <w:rPr>
          <w:color w:val="000000"/>
        </w:rPr>
        <w:t>您是否属于</w:t>
      </w:r>
      <w:r>
        <w:rPr>
          <w:color w:val="000000"/>
        </w:rPr>
        <w:t>【目标人群定义】</w:t>
      </w:r>
      <w:r>
        <w:rPr>
          <w:color w:val="000000"/>
        </w:rPr>
        <w:t xml:space="preserve">？　□ 是　□ 否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after="120"/>
        <w:ind w:hanging="283" w:start="709" w:end="0" w:left="0" w:right="0"/>
        <w:rPr/>
      </w:pPr>
      <w:r>
        <w:rPr>
          <w:color w:val="000000"/>
        </w:rPr>
        <w:t>在过去</w:t>
      </w:r>
      <w:r>
        <w:rPr>
          <w:color w:val="000000"/>
        </w:rPr>
        <w:t>【明确时间范围】</w:t>
      </w:r>
      <w:r>
        <w:rPr>
          <w:color w:val="000000"/>
        </w:rPr>
        <w:t>内，您是否有过</w:t>
      </w:r>
      <w:r>
        <w:rPr>
          <w:color w:val="000000"/>
        </w:rPr>
        <w:t>【目标行为</w:t>
      </w:r>
      <w:r>
        <w:rPr>
          <w:color w:val="000000"/>
        </w:rPr>
        <w:t>/</w:t>
      </w:r>
      <w:r>
        <w:rPr>
          <w:color w:val="000000"/>
        </w:rPr>
        <w:t>经历】</w:t>
      </w:r>
      <w:r>
        <w:rPr>
          <w:color w:val="000000"/>
        </w:rPr>
        <w:t xml:space="preserve">？　□ 是　□ 否 </w:t>
      </w:r>
    </w:p>
    <w:p>
      <w:pPr>
        <w:pStyle w:val="BodyTextplaceholder"/>
        <w:bidi w:val="0"/>
        <w:spacing w:after="120"/>
        <w:ind w:left="0" w:right="0"/>
        <w:rPr/>
      </w:pPr>
      <w:r>
        <w:rPr>
          <w:color w:val="000000"/>
        </w:rPr>
        <w:t>如回答“否”不符合研究范围，应在正式问卷中设置结束逻辑；本实验预试可继续查看题目以检查表达。</w:t>
      </w:r>
    </w:p>
    <w:p>
      <w:pPr>
        <w:pStyle w:val="Heading2"/>
        <w:keepNext/>
        <w:bidi w:val="0"/>
        <w:spacing w:after="120" w:before="200"/>
        <w:ind w:left="0" w:right="0"/>
        <w:rPr/>
      </w:pPr>
      <w:r>
        <w:rPr>
          <w:color w:val="000000"/>
          <w:sz w:val="28"/>
        </w:rPr>
        <w:t>三、主体问题</w:t>
      </w:r>
    </w:p>
    <w:tbl>
      <w:tblPr>
        <w:tblW w:w="9411" w:type="dxa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8"/>
        <w:gridCol w:w="4195"/>
        <w:gridCol w:w="3288"/>
      </w:tblGrid>
      <w:tr>
        <w:trPr>
          <w:tblHeader w:val="true"/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4EEF9"/>
          </w:tcPr>
          <w:p>
            <w:pPr>
              <w:pStyle w:val="TableHeading"/>
              <w:keepNext w:val="0"/>
              <w:suppressLineNumbers/>
              <w:shd w:fill="E4EEF9" w:val="clear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测量目的</w:t>
            </w:r>
          </w:p>
        </w:tc>
        <w:tc>
          <w:tcPr>
            <w:tcW w:w="419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4EEF9"/>
          </w:tcPr>
          <w:p>
            <w:pPr>
              <w:pStyle w:val="TableHeading"/>
              <w:keepNext w:val="0"/>
              <w:suppressLineNumbers/>
              <w:shd w:fill="E4EEF9" w:val="clear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示例题目</w:t>
            </w:r>
          </w:p>
        </w:tc>
        <w:tc>
          <w:tcPr>
            <w:tcW w:w="32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4EEF9"/>
          </w:tcPr>
          <w:p>
            <w:pPr>
              <w:pStyle w:val="TableHeading"/>
              <w:keepNext w:val="0"/>
              <w:suppressLineNumbers/>
              <w:shd w:fill="E4EEF9" w:val="clear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推荐题型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行为或频率</w:t>
            </w:r>
          </w:p>
        </w:tc>
        <w:tc>
          <w:tcPr>
            <w:tcW w:w="419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0" w:after="0" w:line="300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>过去 7 天内（含今天），您进行【目标行为】共多少次？</w:t>
            </w:r>
          </w:p>
        </w:tc>
        <w:tc>
          <w:tcPr>
            <w:tcW w:w="32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before="0" w:after="0" w:line="300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>单选题：0 次、1-2 次、3-4 次、5 次及以上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态度或认同</w:t>
            </w:r>
          </w:p>
        </w:tc>
        <w:tc>
          <w:tcPr>
            <w:tcW w:w="419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>请评价您对“【中性陈述】”的认同程度。</w:t>
            </w:r>
          </w:p>
        </w:tc>
        <w:tc>
          <w:tcPr>
            <w:tcW w:w="32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 xml:space="preserve">5 </w:t>
            </w:r>
            <w:r>
              <w:rPr>
                <w:color w:val="000000"/>
                <w:sz w:val="22"/>
              </w:rPr>
              <w:t xml:space="preserve">点或 </w:t>
            </w:r>
            <w:r>
              <w:rPr>
                <w:color w:val="000000"/>
                <w:sz w:val="22"/>
              </w:rPr>
              <w:t xml:space="preserve">7 </w:t>
            </w:r>
            <w:r>
              <w:rPr>
                <w:color w:val="000000"/>
                <w:sz w:val="22"/>
              </w:rPr>
              <w:t xml:space="preserve">点 </w:t>
            </w:r>
            <w:r>
              <w:rPr>
                <w:color w:val="000000"/>
                <w:sz w:val="22"/>
              </w:rPr>
              <w:t xml:space="preserve">Likert </w:t>
            </w:r>
            <w:r>
              <w:rPr>
                <w:color w:val="000000"/>
                <w:sz w:val="22"/>
              </w:rPr>
              <w:t>型评分题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满意度</w:t>
            </w:r>
          </w:p>
        </w:tc>
        <w:tc>
          <w:tcPr>
            <w:tcW w:w="419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>您对【服务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体验】的总体满意程度如何？</w:t>
            </w:r>
          </w:p>
        </w:tc>
        <w:tc>
          <w:tcPr>
            <w:tcW w:w="32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 xml:space="preserve">5 </w:t>
            </w:r>
            <w:r>
              <w:rPr>
                <w:color w:val="000000"/>
                <w:sz w:val="22"/>
              </w:rPr>
              <w:t xml:space="preserve">点或 </w:t>
            </w:r>
            <w:r>
              <w:rPr>
                <w:color w:val="000000"/>
                <w:sz w:val="22"/>
              </w:rPr>
              <w:t xml:space="preserve">7 </w:t>
            </w:r>
            <w:r>
              <w:rPr>
                <w:color w:val="000000"/>
                <w:sz w:val="22"/>
              </w:rPr>
              <w:t>点评分题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原因或需求</w:t>
            </w:r>
          </w:p>
        </w:tc>
        <w:tc>
          <w:tcPr>
            <w:tcW w:w="419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>哪些因素会影响您【行为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选择】？</w:t>
            </w:r>
          </w:p>
        </w:tc>
        <w:tc>
          <w:tcPr>
            <w:tcW w:w="32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>多选题，并明确最少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最多选择数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center"/>
              <w:rPr/>
            </w:pPr>
            <w:r>
              <w:rPr>
                <w:color w:val="000000"/>
                <w:sz w:val="22"/>
              </w:rPr>
              <w:t>事实判断</w:t>
            </w:r>
          </w:p>
        </w:tc>
        <w:tc>
          <w:tcPr>
            <w:tcW w:w="419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>您是否使用过【功能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服务】？</w:t>
            </w:r>
          </w:p>
        </w:tc>
        <w:tc>
          <w:tcPr>
            <w:tcW w:w="32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ableContents"/>
              <w:keepNext w:val="0"/>
              <w:bidi w:val="0"/>
              <w:spacing w:before="0" w:after="0" w:line="300" w:lineRule="auto"/>
              <w:ind w:left="0" w:right="0" w:firstLine="0"/>
              <w:jc w:val="left"/>
              <w:rPr/>
            </w:pPr>
            <w:r>
              <w:rPr>
                <w:color w:val="000000"/>
                <w:sz w:val="22"/>
              </w:rPr>
              <w:t>是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否题</w:t>
            </w:r>
          </w:p>
        </w:tc>
      </w:tr>
    </w:tbl>
    <w:p>
      <w:pPr>
        <w:pStyle w:val="Heading3"/>
        <w:keepNext/>
        <w:bidi w:val="0"/>
        <w:spacing w:after="120" w:before="200"/>
        <w:ind w:left="0" w:right="0"/>
        <w:rPr/>
      </w:pPr>
      <w:r>
        <w:rPr>
          <w:color w:val="000000"/>
          <w:sz w:val="24"/>
        </w:rPr>
        <w:t>量表建议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典型 </w:t>
      </w:r>
      <w:r>
        <w:rPr>
          <w:color w:val="000000"/>
        </w:rPr>
        <w:t xml:space="preserve">Likert </w:t>
      </w:r>
      <w:r>
        <w:rPr>
          <w:color w:val="000000"/>
        </w:rPr>
        <w:t xml:space="preserve">型题项优先使用 </w:t>
      </w:r>
      <w:r>
        <w:rPr>
          <w:color w:val="000000"/>
        </w:rPr>
        <w:t xml:space="preserve">5 </w:t>
      </w:r>
      <w:r>
        <w:rPr>
          <w:color w:val="000000"/>
        </w:rPr>
        <w:t xml:space="preserve">点或 </w:t>
      </w:r>
      <w:r>
        <w:rPr>
          <w:color w:val="000000"/>
        </w:rPr>
        <w:t xml:space="preserve">7 </w:t>
      </w:r>
      <w:r>
        <w:rPr>
          <w:color w:val="000000"/>
        </w:rPr>
        <w:t xml:space="preserve">点奇数选项，并为两端提供含义清楚、方向一致的标签。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10 </w:t>
      </w:r>
      <w:r>
        <w:rPr>
          <w:color w:val="000000"/>
        </w:rPr>
        <w:t xml:space="preserve">点一般评分可以用于满意度或推荐意愿，但不应直接称为 </w:t>
      </w:r>
      <w:r>
        <w:rPr>
          <w:color w:val="000000"/>
        </w:rPr>
        <w:t xml:space="preserve">Likert </w:t>
      </w:r>
      <w:r>
        <w:rPr>
          <w:color w:val="000000"/>
        </w:rPr>
        <w:t xml:space="preserve">型题项。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after="120"/>
        <w:ind w:hanging="283" w:start="1956" w:left="0" w:right="0"/>
        <w:rPr/>
      </w:pPr>
      <w:r>
        <w:rPr>
          <w:color w:val="000000"/>
        </w:rPr>
        <w:t xml:space="preserve">量表选项不超过 </w:t>
      </w:r>
      <w:r>
        <w:rPr>
          <w:color w:val="000000"/>
        </w:rPr>
        <w:t xml:space="preserve">10 </w:t>
      </w:r>
      <w:r>
        <w:rPr>
          <w:color w:val="000000"/>
        </w:rPr>
        <w:t xml:space="preserve">个；同一组题目保持方向和刻度一致，避免正反方向无提示切换。 </w:t>
      </w:r>
    </w:p>
    <w:p>
      <w:pPr>
        <w:pStyle w:val="Heading2"/>
        <w:keepNext/>
        <w:bidi w:val="0"/>
        <w:spacing w:after="120" w:before="200"/>
        <w:ind w:left="0" w:right="0"/>
        <w:rPr/>
      </w:pPr>
      <w:r>
        <w:rPr>
          <w:color w:val="000000"/>
          <w:sz w:val="28"/>
        </w:rPr>
        <w:t>四、背景资料</w:t>
      </w:r>
    </w:p>
    <w:p>
      <w:pPr>
        <w:pStyle w:val="BodyText"/>
        <w:bidi w:val="0"/>
        <w:spacing w:after="120"/>
        <w:ind w:left="0" w:right="0"/>
        <w:rPr/>
      </w:pPr>
      <w:r>
        <w:rPr>
          <w:color w:val="000000"/>
        </w:rPr>
        <w:t>只收集分析确实需要的背景变量，选项应互斥、穷尽，并提供“其他</w:t>
      </w:r>
      <w:r>
        <w:rPr>
          <w:color w:val="000000"/>
        </w:rPr>
        <w:t>/</w:t>
      </w:r>
      <w:r>
        <w:rPr>
          <w:color w:val="000000"/>
        </w:rPr>
        <w:t>不便回答”等合理出口。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20"/>
        <w:ind w:hanging="283" w:start="709" w:end="0" w:left="0" w:right="0"/>
        <w:rPr/>
      </w:pPr>
      <w:r>
        <w:rPr>
          <w:color w:val="000000"/>
        </w:rPr>
        <w:t>您的</w:t>
      </w:r>
      <w:r>
        <w:rPr>
          <w:color w:val="000000"/>
        </w:rPr>
        <w:t>【与研究相关的分组变量，如年级</w:t>
      </w:r>
      <w:r>
        <w:rPr>
          <w:color w:val="000000"/>
        </w:rPr>
        <w:t>/</w:t>
      </w:r>
      <w:r>
        <w:rPr>
          <w:color w:val="000000"/>
        </w:rPr>
        <w:t>地区</w:t>
      </w:r>
      <w:r>
        <w:rPr>
          <w:color w:val="000000"/>
        </w:rPr>
        <w:t>/</w:t>
      </w:r>
      <w:r>
        <w:rPr>
          <w:color w:val="000000"/>
        </w:rPr>
        <w:t>岗位类型】</w:t>
      </w:r>
      <w:r>
        <w:rPr>
          <w:color w:val="000000"/>
        </w:rPr>
        <w:t xml:space="preserve">是？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after="120"/>
        <w:ind w:hanging="283" w:start="709" w:end="0" w:left="0" w:right="0"/>
        <w:rPr/>
      </w:pPr>
      <w:r>
        <w:rPr>
          <w:color w:val="000000"/>
        </w:rPr>
        <w:t>您的</w:t>
      </w:r>
      <w:r>
        <w:rPr>
          <w:color w:val="000000"/>
        </w:rPr>
        <w:t>【第二个必要背景变量】</w:t>
      </w:r>
      <w:r>
        <w:rPr>
          <w:color w:val="000000"/>
        </w:rPr>
        <w:t xml:space="preserve">是？ </w:t>
      </w:r>
    </w:p>
    <w:p>
      <w:pPr>
        <w:pStyle w:val="BodyTextnote"/>
        <w:bidi w:val="0"/>
        <w:spacing w:after="120"/>
        <w:ind w:left="0" w:right="0"/>
        <w:rPr/>
      </w:pPr>
      <w:r>
        <w:rPr>
          <w:color w:val="000000"/>
        </w:rPr>
        <w:t>不要在课堂共享的问卷或总体数据中收集真实姓名、手机号、证件号、精确住址等非必要敏感信息。</w:t>
      </w:r>
    </w:p>
    <w:p>
      <w:pPr>
        <w:pStyle w:val="Heading2"/>
        <w:keepNext/>
        <w:bidi w:val="0"/>
        <w:spacing w:after="120" w:before="200"/>
        <w:ind w:left="0" w:right="0"/>
        <w:rPr/>
      </w:pPr>
      <w:r>
        <w:rPr>
          <w:color w:val="000000"/>
          <w:sz w:val="28"/>
        </w:rPr>
        <w:t>五、结束语</w:t>
      </w:r>
    </w:p>
    <w:p>
      <w:pPr>
        <w:pStyle w:val="BodyText"/>
        <w:bidi w:val="0"/>
        <w:spacing w:after="120"/>
        <w:ind w:hanging="0" w:start="0" w:end="0" w:left="0" w:right="0"/>
        <w:rPr/>
      </w:pPr>
      <w:r>
        <w:rPr>
          <w:color w:val="000000"/>
        </w:rPr>
        <w:t>感谢您的参与！您的反馈将帮助我们改进</w:t>
      </w:r>
      <w:r>
        <w:rPr>
          <w:color w:val="000000"/>
        </w:rPr>
        <w:t>【研究或教学目标】</w:t>
      </w:r>
      <w:r>
        <w:rPr>
          <w:color w:val="000000"/>
        </w:rPr>
        <w:t>。如对调查有疑问，请联系</w:t>
      </w:r>
      <w:r>
        <w:rPr>
          <w:color w:val="000000"/>
        </w:rPr>
        <w:t>【课程教师或项目联系人】</w:t>
      </w:r>
      <w:r>
        <w:rPr>
          <w:color w:val="000000"/>
        </w:rPr>
        <w:t>。</w:t>
      </w:r>
    </w:p>
    <w:p>
      <w:pPr>
        <w:pStyle w:val="Heading2"/>
        <w:keepNext/>
        <w:bidi w:val="0"/>
        <w:spacing w:after="120" w:before="200"/>
        <w:ind w:left="0" w:right="0"/>
        <w:rPr/>
      </w:pPr>
      <w:r>
        <w:rPr>
          <w:color w:val="000000"/>
          <w:sz w:val="28"/>
        </w:rPr>
        <w:t>六、发布前检查表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研究目的、目标总体和分析单位是否一致？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每道题是否只测量一个概念，并给出必要的时间范围？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题干是否中性，是否避免暗示“正确答案”和双重否定？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单选项是否互斥且穷尽，多选题是否说明选择数量？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量表端点、方向和选项数量是否合理？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是否删除了与研究无关的身份信息和敏感问题？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120"/>
        <w:ind w:hanging="283" w:start="1956" w:left="0" w:right="0"/>
        <w:rPr/>
      </w:pPr>
      <w:r>
        <w:rPr>
          <w:color w:val="000000"/>
        </w:rPr>
        <w:t xml:space="preserve">课堂交互自检：是否完整试填、检查选项和作答流程？若开展正式认知预试，还需邀请目标人群代表，记录对题意的理解、追问、犹豫或误解的位置以及修改依据；平台的试填完成状态不代替这些证据。 </w:t>
      </w:r>
    </w:p>
    <w:sectPr>
      <w:type w:val="nextPage"/>
      <w:pgSz w:w="11906" w:h="16838"/>
      <w:pgMar w:left="1247" w:right="1247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Microsoft YaHei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247" w:after="1247"/>
      <w:ind w:start="1247" w:end="1247" w:left="0" w:right="0" w:firstLine="0"/>
    </w:pPr>
    <w:rPr>
      <w:rFonts w:ascii="Noto Sans CJK SC" w:hAnsi="Noto Sans CJK SC" w:eastAsia="Noto Sans CJK SC" w:cs="Noto Sans CJK SC;Microsoft YaHei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27" w:line="324" w:lineRule="auto"/>
      <w:ind w:left="0" w:right="0" w:firstLine="0"/>
      <w:jc w:val="center"/>
    </w:pPr>
    <w:rPr>
      <w:rFonts w:ascii="Noto Sans CJK SC" w:hAnsi="Noto Sans CJK SC" w:eastAsia="Noto Sans CJK SC"/>
      <w:b/>
      <w:bCs/>
      <w:color w:val="000000"/>
      <w:sz w:val="22"/>
      <w:szCs w:val="44"/>
    </w:rPr>
  </w:style>
  <w:style w:type="paragraph" w:styleId="Heading2">
    <w:name w:val="heading 2"/>
    <w:basedOn w:val="Heading"/>
    <w:next w:val="BodyText"/>
    <w:qFormat/>
    <w:pPr>
      <w:spacing w:before="397" w:after="120" w:line="324" w:lineRule="auto"/>
      <w:ind w:left="0" w:right="0" w:firstLine="0"/>
      <w:outlineLvl w:val="1"/>
    </w:pPr>
    <w:rPr>
      <w:rFonts w:ascii="Noto Sans CJK SC" w:hAnsi="Noto Sans CJK SC" w:eastAsia="Noto Sans CJK SC" w:cs="Noto Sans Devanagari"/>
      <w:b/>
      <w:bCs/>
      <w:color w:val="000000"/>
      <w:sz w:val="22"/>
      <w:szCs w:val="32"/>
    </w:rPr>
  </w:style>
  <w:style w:type="paragraph" w:styleId="Heading3">
    <w:name w:val="heading 3"/>
    <w:basedOn w:val="Heading"/>
    <w:next w:val="BodyText"/>
    <w:qFormat/>
    <w:pPr>
      <w:spacing w:before="283" w:after="120" w:line="324" w:lineRule="auto"/>
      <w:ind w:left="0" w:right="0" w:firstLine="0"/>
      <w:outlineLvl w:val="2"/>
    </w:pPr>
    <w:rPr>
      <w:rFonts w:ascii="Noto Sans CJK SC" w:hAnsi="Noto Sans CJK SC" w:eastAsia="Noto Sans CJK SC" w:cs="Noto Sans Devanagari"/>
      <w:b/>
      <w:bCs/>
      <w:color w:val="000000"/>
      <w:sz w:val="22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spacing w:before="0" w:after="283" w:line="324" w:lineRule="auto"/>
      <w:ind w:left="0" w:right="0" w:firstLine="0"/>
    </w:pPr>
    <w:rPr>
      <w:rFonts w:ascii="Noto Sans CJK SC" w:hAnsi="Noto Sans CJK SC" w:eastAsia="Noto Sans CJK SC"/>
      <w:color w:val="000000"/>
      <w:sz w:val="22"/>
    </w:rPr>
  </w:style>
  <w:style w:type="paragraph" w:styleId="EnvelopeReturn">
    <w:name w:val="envelope return"/>
    <w:basedOn w:val="Normal"/>
    <w:pPr>
      <w:spacing w:line="324" w:lineRule="auto"/>
      <w:ind w:left="0" w:right="0" w:firstLine="0"/>
    </w:pPr>
    <w:rPr>
      <w:rFonts w:ascii="Noto Sans CJK SC" w:hAnsi="Noto Sans CJK SC" w:eastAsia="Noto Sans CJK SC"/>
      <w:i/>
      <w:color w:val="000000"/>
      <w:sz w:val="22"/>
    </w:rPr>
  </w:style>
  <w:style w:type="paragraph" w:styleId="TableContents">
    <w:name w:val="Table Contents"/>
    <w:basedOn w:val="BodyText"/>
    <w:qFormat/>
    <w:pPr>
      <w:spacing w:line="324" w:lineRule="auto"/>
      <w:ind w:left="0" w:right="0" w:firstLine="0"/>
    </w:pPr>
    <w:rPr>
      <w:rFonts w:ascii="Noto Sans CJK SC" w:hAnsi="Noto Sans CJK SC" w:eastAsia="Noto Sans CJK SC"/>
      <w:color w:val="000000"/>
      <w:sz w:val="22"/>
    </w:rPr>
  </w:style>
  <w:style w:type="paragraph" w:styleId="Index">
    <w:name w:val="Index"/>
    <w:basedOn w:val="Normal"/>
    <w:qFormat/>
    <w:pPr>
      <w:suppressLineNumbers/>
      <w:spacing w:line="324" w:lineRule="auto"/>
      <w:ind w:left="0" w:right="0" w:firstLine="0"/>
    </w:pPr>
    <w:rPr>
      <w:rFonts w:cs="Noto Sans Devanagari" w:ascii="Noto Sans CJK SC" w:hAnsi="Noto Sans CJK SC" w:eastAsia="Noto Sans CJK SC"/>
      <w:color w:val="000000"/>
      <w:sz w:val="22"/>
    </w:rPr>
  </w:style>
  <w:style w:type="paragraph" w:styleId="Caption">
    <w:name w:val="caption"/>
    <w:basedOn w:val="Normal"/>
    <w:qFormat/>
    <w:pPr>
      <w:suppressLineNumbers/>
      <w:spacing w:before="120" w:after="120" w:line="324" w:lineRule="auto"/>
      <w:ind w:left="0" w:right="0" w:firstLine="0"/>
    </w:pPr>
    <w:rPr>
      <w:rFonts w:cs="Noto Sans Devanagari" w:ascii="Noto Sans CJK SC" w:hAnsi="Noto Sans CJK SC" w:eastAsia="Noto Sans CJK SC"/>
      <w:i/>
      <w:iCs/>
      <w:color w:val="000000"/>
      <w:sz w:val="22"/>
      <w:szCs w:val="24"/>
    </w:rPr>
  </w:style>
  <w:style w:type="paragraph" w:styleId="List">
    <w:name w:val="List"/>
    <w:basedOn w:val="BodyText"/>
    <w:pPr>
      <w:spacing w:line="324" w:lineRule="auto"/>
      <w:ind w:left="0" w:right="0" w:firstLine="0"/>
    </w:pPr>
    <w:rPr>
      <w:rFonts w:cs="Noto Sans Devanagari" w:ascii="Noto Sans CJK SC" w:hAnsi="Noto Sans CJK SC" w:eastAsia="Noto Sans CJK SC"/>
      <w:color w:val="000000"/>
      <w:sz w:val="22"/>
    </w:rPr>
  </w:style>
  <w:style w:type="paragraph" w:styleId="BodyText">
    <w:name w:val="Body Text"/>
    <w:basedOn w:val="Normal"/>
    <w:pPr>
      <w:spacing w:before="0" w:after="283" w:line="324" w:lineRule="auto"/>
      <w:ind w:left="0" w:right="0" w:firstLine="0"/>
    </w:pPr>
    <w:rPr>
      <w:rFonts w:ascii="Noto Sans CJK SC" w:hAnsi="Noto Sans CJK SC" w:eastAsia="Noto Sans CJK SC"/>
      <w:color w:val="000000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 w:line="324" w:lineRule="auto"/>
      <w:ind w:left="0" w:right="0" w:firstLine="0"/>
    </w:pPr>
    <w:rPr>
      <w:rFonts w:ascii="Noto Sans CJK SC" w:hAnsi="Noto Sans CJK SC" w:eastAsia="Noto Sans CJK SC"/>
      <w:color w:val="000000"/>
      <w:sz w:val="22"/>
      <w:szCs w:val="28"/>
    </w:rPr>
  </w:style>
  <w:style w:type="paragraph" w:styleId="BodyTextnote">
    <w:name w:val="Body Text.note"/>
    <w:basedOn w:val="BodyText"/>
    <w:qFormat/>
    <w:pPr>
      <w:shd w:fill="EEF5FC" w:val="clear"/>
      <w:spacing w:line="324" w:lineRule="auto"/>
      <w:ind w:left="0" w:right="0" w:firstLine="0"/>
    </w:pPr>
    <w:rPr>
      <w:rFonts w:ascii="Noto Sans CJK SC" w:hAnsi="Noto Sans CJK SC" w:eastAsia="Noto Sans CJK SC"/>
      <w:color w:val="000000"/>
      <w:sz w:val="22"/>
    </w:rPr>
  </w:style>
  <w:style w:type="paragraph" w:styleId="BodyTextplaceholder">
    <w:name w:val="Body Text.placeholder"/>
    <w:basedOn w:val="BodyText"/>
    <w:qFormat/>
    <w:pPr>
      <w:spacing w:line="324" w:lineRule="auto"/>
      <w:ind w:left="0" w:right="0" w:firstLine="0"/>
    </w:pPr>
    <w:rPr>
      <w:rFonts w:ascii="Noto Sans CJK SC" w:hAnsi="Noto Sans CJK SC" w:eastAsia="Noto Sans CJK SC"/>
      <w:color w:val="000000"/>
      <w:sz w:val="22"/>
    </w:rPr>
  </w:style>
  <w:style w:type="paragraph" w:styleId="TableHeading">
    <w:name w:val="Table Heading"/>
    <w:basedOn w:val="TableContents"/>
    <w:qFormat/>
    <w:pPr>
      <w:suppressLineNumbers/>
      <w:shd w:fill="E4EEF9" w:val="clear"/>
      <w:spacing w:line="324" w:lineRule="auto"/>
      <w:ind w:left="0" w:right="0" w:firstLine="0"/>
      <w:jc w:val="center"/>
    </w:pPr>
    <w:rPr>
      <w:rFonts w:ascii="Noto Sans CJK SC" w:hAnsi="Noto Sans CJK SC" w:eastAsia="Noto Sans CJK SC"/>
      <w:b/>
      <w:bCs/>
      <w:color w:val="000000"/>
      <w:sz w:val="22"/>
    </w:r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调查问卷设计规范与模板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