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mbria" w:hAnsi="Cambria"/>
          <w:b/>
          <w:color w:val="1D4A2E"/>
          <w:sz w:val="44"/>
        </w:rPr>
        <w:t>Technical Fit Checklist</w:t>
      </w:r>
    </w:p>
    <w:p>
      <w:r>
        <w:rPr>
          <w:b w:val="0"/>
          <w:color w:val="55665A"/>
          <w:sz w:val="22"/>
        </w:rPr>
        <w:t>SAN TECH · Umujyanama w'Ubuhinzi · EOI: AI-Enabled Agricultural Advisory Solution Partner (C4IR)</w:t>
      </w:r>
    </w:p>
    <w:p>
      <w:r>
        <w:rPr>
          <w:b w:val="0"/>
          <w:color w:val="3D7D45"/>
          <w:sz w:val="20"/>
        </w:rPr>
        <w:t>Live product: https://santech-agri-advisor.vercel.app   ·   API docs: https://santech-agri-api.onrender.com/docs</w:t>
      </w:r>
    </w:p>
    <w:p>
      <w:r>
        <w:rPr>
          <w:b w:val="0"/>
          <w:sz w:val="20"/>
        </w:rPr>
        <w:t xml:space="preserve">Contact: </w:t>
      </w:r>
      <w:r>
        <w:rPr>
          <w:b w:val="0"/>
          <w:i/>
          <w:color w:val="B7791F"/>
          <w:sz w:val="20"/>
        </w:rPr>
        <w:t>[Name]</w:t>
      </w:r>
      <w:r>
        <w:rPr>
          <w:b w:val="0"/>
          <w:sz w:val="20"/>
        </w:rPr>
        <w:t xml:space="preserve"> · </w:t>
      </w:r>
      <w:r>
        <w:rPr>
          <w:b w:val="0"/>
          <w:i/>
          <w:color w:val="B7791F"/>
          <w:sz w:val="20"/>
        </w:rPr>
        <w:t>[email]</w:t>
      </w:r>
      <w:r>
        <w:rPr>
          <w:b w:val="0"/>
          <w:sz w:val="20"/>
        </w:rPr>
        <w:t xml:space="preserve"> · </w:t>
      </w:r>
      <w:r>
        <w:rPr>
          <w:b w:val="0"/>
          <w:i/>
          <w:color w:val="B7791F"/>
          <w:sz w:val="20"/>
        </w:rPr>
        <w:t>[phone]</w:t>
      </w:r>
    </w:p>
    <w:p>
      <w:pPr>
        <w:spacing w:before="200" w:after="80"/>
      </w:pPr>
      <w:r>
        <w:rPr>
          <w:rFonts w:ascii="Cambria" w:hAnsi="Cambria"/>
          <w:b/>
          <w:color w:val="1D4A2E"/>
          <w:sz w:val="28"/>
        </w:rPr>
        <w:t>A. Access to our solution for the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515"/>
            <w:shd w:val="clear" w:color="auto" w:fill="1D4A2E"/>
          </w:tcPr>
          <w:p>
            <w:r/>
            <w:r>
              <w:rPr>
                <w:b/>
                <w:color w:val="FFFFFF"/>
              </w:rPr>
              <w:t>Statement</w:t>
            </w:r>
          </w:p>
        </w:tc>
        <w:tc>
          <w:tcPr>
            <w:tcW w:type="dxa" w:w="1871"/>
            <w:shd w:val="clear" w:color="auto" w:fill="1D4A2E"/>
          </w:tcPr>
          <w:p>
            <w:r/>
            <w:r>
              <w:rPr>
                <w:b/>
                <w:color w:val="FFFFFF"/>
              </w:rPr>
              <w:t>Answer</w:t>
            </w:r>
          </w:p>
        </w:tc>
        <w:tc>
          <w:tcPr>
            <w:tcW w:type="dxa" w:w="4252"/>
            <w:shd w:val="clear" w:color="auto" w:fill="1D4A2E"/>
          </w:tcPr>
          <w:p>
            <w:r/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color w:val="1B2A20"/>
              </w:rPr>
              <w:t>Our solution is available behind one secure API endpoint</w:t>
            </w:r>
          </w:p>
        </w:tc>
        <w:tc>
          <w:tcPr>
            <w:tcW w:type="dxa" w:w="1871"/>
          </w:tcPr>
          <w:p>
            <w:r>
              <w:rPr>
                <w:b/>
                <w:color w:val="3D7D45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b w:val="0"/>
                <w:color w:val="55665A"/>
              </w:rPr>
              <w:t>POST /ask, protected by an X-API-Key header. Interactive docs at /docs.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color w:val="1B2A20"/>
              </w:rPr>
              <w:t>It answers farmer questions in English and Kinyarwanda, including follow-ups</w:t>
            </w:r>
          </w:p>
        </w:tc>
        <w:tc>
          <w:tcPr>
            <w:tcW w:type="dxa" w:w="1871"/>
          </w:tcPr>
          <w:p>
            <w:r>
              <w:rPr>
                <w:b/>
                <w:color w:val="3D7D45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b w:val="0"/>
                <w:color w:val="55665A"/>
              </w:rPr>
              <w:t>Language is detected or set; session_id keeps the conversation for follow-up questions.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color w:val="1B2A20"/>
              </w:rPr>
              <w:t>It provides a readiness check</w:t>
            </w:r>
          </w:p>
        </w:tc>
        <w:tc>
          <w:tcPr>
            <w:tcW w:type="dxa" w:w="1871"/>
          </w:tcPr>
          <w:p>
            <w:r>
              <w:rPr>
                <w:b/>
                <w:color w:val="3D7D45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b w:val="0"/>
                <w:color w:val="55665A"/>
              </w:rPr>
              <w:t>GET /health returns ready: true/false and the database status.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color w:val="1B2A20"/>
              </w:rPr>
              <w:t>It records which version answered, and how fast</w:t>
            </w:r>
          </w:p>
        </w:tc>
        <w:tc>
          <w:tcPr>
            <w:tcW w:type="dxa" w:w="1871"/>
          </w:tcPr>
          <w:p>
            <w:r>
              <w:rPr>
                <w:b/>
                <w:color w:val="3D7D45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b w:val="0"/>
                <w:color w:val="55665A"/>
              </w:rPr>
              <w:t>Each answer returns model, system_version, prompt_version and latency_ms; GET /version; every request is logged.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color w:val="1B2A20"/>
              </w:rPr>
              <w:t>Voice (optional): Kinyarwanda audio or text in, audio or text out</w:t>
            </w:r>
          </w:p>
        </w:tc>
        <w:tc>
          <w:tcPr>
            <w:tcW w:type="dxa" w:w="1871"/>
          </w:tcPr>
          <w:p>
            <w:r>
              <w:rPr>
                <w:b/>
                <w:color w:val="3D7D45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b w:val="0"/>
                <w:color w:val="55665A"/>
              </w:rPr>
              <w:t>POST /transcribe (speech-to-text) and POST /speak (text-to-speech).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color w:val="1B2A20"/>
              </w:rPr>
              <w:t>The model and harness (prompts, retrieval, knowledge base, guardrails, orchestration) are all behind the API</w:t>
            </w:r>
          </w:p>
        </w:tc>
        <w:tc>
          <w:tcPr>
            <w:tcW w:type="dxa" w:w="1871"/>
          </w:tcPr>
          <w:p>
            <w:r>
              <w:rPr>
                <w:b/>
                <w:color w:val="3D7D45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b w:val="0"/>
                <w:color w:val="55665A"/>
              </w:rPr>
              <w:t>Channel front-ends (web, USSD, SMS) call the same API.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color w:val="1B2A20"/>
              </w:rPr>
              <w:t>We can take part in onboarding on 9–14 October</w:t>
            </w:r>
          </w:p>
        </w:tc>
        <w:tc>
          <w:tcPr>
            <w:tcW w:type="dxa" w:w="1871"/>
          </w:tcPr>
          <w:p>
            <w:r>
              <w:rPr>
                <w:b/>
                <w:i/>
                <w:color w:val="B7791F"/>
              </w:rPr>
              <w:t>[Yes]</w:t>
            </w:r>
          </w:p>
        </w:tc>
        <w:tc>
          <w:tcPr>
            <w:tcW w:type="dxa" w:w="4252"/>
          </w:tcPr>
          <w:p>
            <w:r>
              <w:rPr>
                <w:b w:val="0"/>
                <w:color w:val="55665A"/>
              </w:rPr>
              <w:t xml:space="preserve">Contact: </w:t>
            </w:r>
            <w:r>
              <w:rPr>
                <w:b w:val="0"/>
                <w:i/>
                <w:color w:val="B7791F"/>
              </w:rPr>
              <w:t>[name, email, phone]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color w:val="1B2A20"/>
              </w:rPr>
              <w:t>We can add C4IR's local data for the final evaluation</w:t>
            </w:r>
          </w:p>
        </w:tc>
        <w:tc>
          <w:tcPr>
            <w:tcW w:type="dxa" w:w="1871"/>
          </w:tcPr>
          <w:p>
            <w:r>
              <w:rPr>
                <w:b/>
                <w:color w:val="3D7D45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b w:val="0"/>
                <w:color w:val="55665A"/>
              </w:rPr>
              <w:t>Documents and data are added with scripts/ingest.py, without code changes; the same tests are then re-run.</w:t>
            </w:r>
          </w:p>
        </w:tc>
      </w:tr>
    </w:tbl>
    <w:p>
      <w:pPr>
        <w:spacing w:before="200" w:after="80"/>
      </w:pPr>
      <w:r>
        <w:rPr>
          <w:rFonts w:ascii="Cambria" w:hAnsi="Cambria"/>
          <w:b/>
          <w:color w:val="1D4A2E"/>
          <w:sz w:val="28"/>
        </w:rPr>
        <w:t>B. Hosting and data in Rwanda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515"/>
            <w:shd w:val="clear" w:color="auto" w:fill="1D4A2E"/>
          </w:tcPr>
          <w:p>
            <w:r/>
            <w:r>
              <w:rPr>
                <w:b/>
                <w:color w:val="FFFFFF"/>
              </w:rPr>
              <w:t>Statement</w:t>
            </w:r>
          </w:p>
        </w:tc>
        <w:tc>
          <w:tcPr>
            <w:tcW w:type="dxa" w:w="1871"/>
            <w:shd w:val="clear" w:color="auto" w:fill="1D4A2E"/>
          </w:tcPr>
          <w:p>
            <w:r/>
            <w:r>
              <w:rPr>
                <w:b/>
                <w:color w:val="FFFFFF"/>
              </w:rPr>
              <w:t>Answer</w:t>
            </w:r>
          </w:p>
        </w:tc>
        <w:tc>
          <w:tcPr>
            <w:tcW w:type="dxa" w:w="4252"/>
            <w:shd w:val="clear" w:color="auto" w:fill="1D4A2E"/>
          </w:tcPr>
          <w:p>
            <w:r/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color w:val="1B2A20"/>
              </w:rPr>
              <w:t>Today's pilot hosting</w:t>
            </w:r>
          </w:p>
        </w:tc>
        <w:tc>
          <w:tcPr>
            <w:tcW w:type="dxa" w:w="1871"/>
          </w:tcPr>
          <w:p>
            <w:r>
              <w:rPr>
                <w:b/>
                <w:color w:val="B7791F"/>
              </w:rPr>
              <w:t>Cloud pilot</w:t>
            </w:r>
          </w:p>
        </w:tc>
        <w:tc>
          <w:tcPr>
            <w:tcW w:type="dxa" w:w="4252"/>
          </w:tcPr>
          <w:p>
            <w:r>
              <w:rPr>
                <w:b w:val="0"/>
                <w:color w:val="55665A"/>
              </w:rPr>
              <w:t>Application: Vercel and Render. Database: Supabase PostgreSQL (EU, Ireland). Language model: Google Gemini API.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color w:val="1B2A20"/>
              </w:rPr>
              <w:t>We will host the solution and data in Rwanda for production</w:t>
            </w:r>
          </w:p>
        </w:tc>
        <w:tc>
          <w:tcPr>
            <w:tcW w:type="dxa" w:w="1871"/>
          </w:tcPr>
          <w:p>
            <w:r>
              <w:rPr>
                <w:b/>
                <w:color w:val="3D7D45"/>
              </w:rPr>
              <w:t>Yes, committed</w:t>
            </w:r>
          </w:p>
        </w:tc>
        <w:tc>
          <w:tcPr>
            <w:tcW w:type="dxa" w:w="4252"/>
          </w:tcPr>
          <w:p>
            <w:r>
              <w:rPr>
                <w:b w:val="0"/>
                <w:color w:val="55665A"/>
              </w:rPr>
              <w:t>Standard PostgreSQL and a stateless Python API move to a Rwanda-based data centre (</w:t>
            </w:r>
            <w:r>
              <w:rPr>
                <w:b w:val="0"/>
                <w:i/>
                <w:color w:val="B7791F"/>
              </w:rPr>
              <w:t>[provider to be confirmed]</w:t>
            </w:r>
            <w:r>
              <w:rPr>
                <w:b w:val="0"/>
                <w:color w:val="55665A"/>
              </w:rPr>
              <w:t>) without code changes.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color w:val="1B2A20"/>
              </w:rPr>
              <w:t>We can use a model hosted in Rwanda or an approved provider</w:t>
            </w:r>
          </w:p>
        </w:tc>
        <w:tc>
          <w:tcPr>
            <w:tcW w:type="dxa" w:w="1871"/>
          </w:tcPr>
          <w:p>
            <w:r>
              <w:rPr>
                <w:b/>
                <w:color w:val="3D7D45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b w:val="0"/>
                <w:color w:val="55665A"/>
              </w:rPr>
              <w:t>The model is set by configuration (LLM_BASE_URL, LLM_MODEL); any OpenAI-compatible endpoint, including a self-hosted open model, works.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color w:val="1B2A20"/>
              </w:rPr>
              <w:t>C4IR data will not be processed on free consumer tiers</w:t>
            </w:r>
          </w:p>
        </w:tc>
        <w:tc>
          <w:tcPr>
            <w:tcW w:type="dxa" w:w="1871"/>
          </w:tcPr>
          <w:p>
            <w:r>
              <w:rPr>
                <w:b/>
                <w:color w:val="3D7D45"/>
              </w:rPr>
              <w:t>Yes, committed</w:t>
            </w:r>
          </w:p>
        </w:tc>
        <w:tc>
          <w:tcPr>
            <w:tcW w:type="dxa" w:w="4252"/>
          </w:tcPr>
          <w:p>
            <w:r>
              <w:rPr>
                <w:b w:val="0"/>
                <w:color w:val="55665A"/>
              </w:rPr>
              <w:t>Free tiers are used only for this public pilot with test data.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color w:val="1B2A20"/>
              </w:rPr>
              <w:t>Compliance with Law No. 058/2021 on personal data protection</w:t>
            </w:r>
          </w:p>
        </w:tc>
        <w:tc>
          <w:tcPr>
            <w:tcW w:type="dxa" w:w="1871"/>
          </w:tcPr>
          <w:p>
            <w:r>
              <w:rPr>
                <w:b/>
                <w:color w:val="3D7D45"/>
              </w:rPr>
              <w:t>Yes, by design</w:t>
            </w:r>
          </w:p>
        </w:tc>
        <w:tc>
          <w:tcPr>
            <w:tcW w:type="dxa" w:w="4252"/>
          </w:tcPr>
          <w:p>
            <w:r>
              <w:rPr>
                <w:b w:val="0"/>
                <w:color w:val="55665A"/>
              </w:rPr>
              <w:t>No farmer phone numbers stored (pseudonymous ID for SMS); photos not stored; no names on dashboards; officer records refuse phone and ID numbers; database tables locked from public access (row-level security).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color w:val="1B2A20"/>
              </w:rPr>
              <w:t>We will sign C4IR's data sharing agreement</w:t>
            </w:r>
          </w:p>
        </w:tc>
        <w:tc>
          <w:tcPr>
            <w:tcW w:type="dxa" w:w="1871"/>
          </w:tcPr>
          <w:p>
            <w:r>
              <w:rPr>
                <w:b/>
                <w:i/>
                <w:color w:val="B7791F"/>
              </w:rPr>
              <w:t>[Yes]</w:t>
            </w:r>
          </w:p>
        </w:tc>
        <w:tc>
          <w:tcPr>
            <w:tcW w:type="dxa" w:w="4252"/>
          </w:tcPr>
          <w:p/>
        </w:tc>
      </w:tr>
    </w:tbl>
    <w:p>
      <w:pPr>
        <w:spacing w:before="200" w:after="80"/>
      </w:pPr>
      <w:r>
        <w:rPr>
          <w:rFonts w:ascii="Cambria" w:hAnsi="Cambria"/>
          <w:b/>
          <w:color w:val="1D4A2E"/>
          <w:sz w:val="28"/>
        </w:rPr>
        <w:t>C. Openness, documentation and transfer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515"/>
            <w:shd w:val="clear" w:color="auto" w:fill="1D4A2E"/>
          </w:tcPr>
          <w:p>
            <w:r/>
            <w:r>
              <w:rPr>
                <w:b/>
                <w:color w:val="FFFFFF"/>
              </w:rPr>
              <w:t>Statement</w:t>
            </w:r>
          </w:p>
        </w:tc>
        <w:tc>
          <w:tcPr>
            <w:tcW w:type="dxa" w:w="1871"/>
            <w:shd w:val="clear" w:color="auto" w:fill="1D4A2E"/>
          </w:tcPr>
          <w:p>
            <w:r/>
            <w:r>
              <w:rPr>
                <w:b/>
                <w:color w:val="FFFFFF"/>
              </w:rPr>
              <w:t>Answer</w:t>
            </w:r>
          </w:p>
        </w:tc>
        <w:tc>
          <w:tcPr>
            <w:tcW w:type="dxa" w:w="4252"/>
            <w:shd w:val="clear" w:color="auto" w:fill="1D4A2E"/>
          </w:tcPr>
          <w:p>
            <w:r/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color w:val="1B2A20"/>
              </w:rPr>
              <w:t>Source code is open or available to C4IR</w:t>
            </w:r>
          </w:p>
        </w:tc>
        <w:tc>
          <w:tcPr>
            <w:tcW w:type="dxa" w:w="1871"/>
          </w:tcPr>
          <w:p>
            <w:r>
              <w:rPr>
                <w:b/>
                <w:i/>
                <w:color w:val="B7791F"/>
              </w:rPr>
              <w:t>[Open source / On request]</w:t>
            </w:r>
          </w:p>
        </w:tc>
        <w:tc>
          <w:tcPr>
            <w:tcW w:type="dxa" w:w="4252"/>
          </w:tcPr>
          <w:p>
            <w:r>
              <w:rPr>
                <w:b w:val="0"/>
                <w:color w:val="55665A"/>
              </w:rPr>
              <w:t xml:space="preserve">https://github.com/YVES10BOBO/santech-agri-advisor </w:t>
            </w:r>
            <w:r>
              <w:rPr>
                <w:b w:val="0"/>
                <w:i/>
                <w:color w:val="B7791F"/>
              </w:rPr>
              <w:t>[public or private; licence]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color w:val="1B2A20"/>
              </w:rPr>
              <w:t>Built with open-source technology</w:t>
            </w:r>
          </w:p>
        </w:tc>
        <w:tc>
          <w:tcPr>
            <w:tcW w:type="dxa" w:w="1871"/>
          </w:tcPr>
          <w:p>
            <w:r>
              <w:rPr>
                <w:b/>
                <w:color w:val="3D7D45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b w:val="0"/>
                <w:color w:val="55665A"/>
              </w:rPr>
              <w:t>Python, FastAPI, PostgreSQL, pgvector, Next.js; the model provider is swappable.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color w:val="1B2A20"/>
              </w:rPr>
              <w:t>Documentation</w:t>
            </w:r>
          </w:p>
        </w:tc>
        <w:tc>
          <w:tcPr>
            <w:tcW w:type="dxa" w:w="1871"/>
          </w:tcPr>
          <w:p>
            <w:r>
              <w:rPr>
                <w:b/>
                <w:color w:val="3D7D45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b w:val="0"/>
                <w:color w:val="55665A"/>
              </w:rPr>
              <w:t>README (setup and what was built), docs/api.md (all endpoints), docs/architecture.md (design, security, roadmap), interactive /docs.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color w:val="1B2A20"/>
              </w:rPr>
              <w:t>Automated tests</w:t>
            </w:r>
          </w:p>
        </w:tc>
        <w:tc>
          <w:tcPr>
            <w:tcW w:type="dxa" w:w="1871"/>
          </w:tcPr>
          <w:p>
            <w:r>
              <w:rPr>
                <w:b/>
                <w:color w:val="3D7D45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b w:val="0"/>
                <w:color w:val="55665A"/>
              </w:rPr>
              <w:t>28 automated tests; a 50-question bilingual benchmark script with a scorecard.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color w:val="1B2A20"/>
              </w:rPr>
              <w:t>Knowledge transfer to C4IR and government teams</w:t>
            </w:r>
          </w:p>
        </w:tc>
        <w:tc>
          <w:tcPr>
            <w:tcW w:type="dxa" w:w="1871"/>
          </w:tcPr>
          <w:p>
            <w:r>
              <w:rPr>
                <w:b/>
                <w:color w:val="3D7D45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b w:val="0"/>
                <w:i/>
                <w:color w:val="B7791F"/>
              </w:rPr>
              <w:t>[Handover sessions, training for engineers, documentation in English and Kinyarwanda]</w:t>
            </w:r>
          </w:p>
        </w:tc>
      </w:tr>
      <w:tr>
        <w:tc>
          <w:tcPr>
            <w:tcW w:type="dxa" w:w="3515"/>
          </w:tcPr>
          <w:p>
            <w:r>
              <w:rPr>
                <w:b w:val="0"/>
                <w:color w:val="1B2A20"/>
              </w:rPr>
              <w:t>Ownership and IP</w:t>
            </w:r>
          </w:p>
        </w:tc>
        <w:tc>
          <w:tcPr>
            <w:tcW w:type="dxa" w:w="1871"/>
          </w:tcPr>
          <w:p>
            <w:r>
              <w:rPr>
                <w:b/>
                <w:color w:val="3D7D45"/>
              </w:rPr>
              <w:t>To be agreed at RFP stage</w:t>
            </w:r>
          </w:p>
        </w:tc>
        <w:tc>
          <w:tcPr>
            <w:tcW w:type="dxa" w:w="4252"/>
          </w:tcPr>
          <w:p>
            <w:r>
              <w:rPr>
                <w:b w:val="0"/>
                <w:color w:val="55665A"/>
              </w:rPr>
              <w:t>As stated by C4IR.</w:t>
            </w:r>
          </w:p>
        </w:tc>
      </w:tr>
    </w:tbl>
    <w:p>
      <w:pPr>
        <w:spacing w:before="200" w:after="80"/>
      </w:pPr>
      <w:r>
        <w:rPr>
          <w:rFonts w:ascii="Cambria" w:hAnsi="Cambria"/>
          <w:b/>
          <w:color w:val="1D4A2E"/>
          <w:sz w:val="24"/>
        </w:rPr>
        <w:t>Known limits, stated openly</w:t>
      </w:r>
    </w:p>
    <w:p>
      <w:pPr>
        <w:pStyle w:val="ListBullet"/>
      </w:pPr>
      <w:r>
        <w:rPr>
          <w:b w:val="0"/>
          <w:color w:val="1B2A20"/>
        </w:rPr>
        <w:t>Kinyarwanda wording and agronomic numbers still need review by a native speaker and an agronomist before production.</w:t>
      </w:r>
    </w:p>
    <w:p>
      <w:pPr>
        <w:pStyle w:val="ListBullet"/>
      </w:pPr>
      <w:r>
        <w:rPr>
          <w:b w:val="0"/>
          <w:color w:val="1B2A20"/>
        </w:rPr>
        <w:t>Pilot hosting is outside Rwanda (see B).</w:t>
      </w:r>
    </w:p>
    <w:p>
      <w:pPr>
        <w:pStyle w:val="ListBullet"/>
      </w:pPr>
      <w:r>
        <w:rPr>
          <w:b w:val="0"/>
          <w:color w:val="1B2A20"/>
        </w:rPr>
        <w:t>Logins and roles for dashboards, WhatsApp, IVR, weather alerts and live input and market data are on the roadmap.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2A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