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2C" w:rsidRDefault="00EC6197">
      <w:pPr>
        <w:rPr>
          <w:rFonts w:ascii="Times New Roman" w:hAnsi="Times New Roman" w:cs="Times New Roman"/>
        </w:rPr>
      </w:pPr>
      <w:r w:rsidRPr="008675FD">
        <w:rPr>
          <w:rFonts w:ascii="Times New Roman" w:hAnsi="Times New Roman" w:cs="Times New Roman"/>
        </w:rPr>
        <w:t>On the basis of the evaluation model based on entropy weight method mentioned above</w:t>
      </w:r>
      <w:r w:rsidR="008675FD" w:rsidRPr="008675FD">
        <w:rPr>
          <w:rFonts w:ascii="Times New Roman" w:hAnsi="Times New Roman" w:cs="Times New Roman"/>
        </w:rPr>
        <w:t xml:space="preserve">, we </w:t>
      </w:r>
      <w:r w:rsidR="00D44E3B">
        <w:rPr>
          <w:rFonts w:ascii="Times New Roman" w:hAnsi="Times New Roman" w:cs="Times New Roman"/>
        </w:rPr>
        <w:t>get the</w:t>
      </w:r>
      <w:r w:rsidR="00087700">
        <w:rPr>
          <w:rFonts w:ascii="Times New Roman" w:hAnsi="Times New Roman" w:cs="Times New Roman"/>
        </w:rPr>
        <w:t xml:space="preserve"> </w:t>
      </w:r>
      <w:r w:rsidR="00D44E3B" w:rsidRPr="00D44E3B">
        <w:rPr>
          <w:rFonts w:ascii="Times New Roman" w:hAnsi="Times New Roman" w:cs="Times New Roman"/>
        </w:rPr>
        <w:t>combinations of text-based measur</w:t>
      </w:r>
      <w:r w:rsidR="00D44E3B">
        <w:rPr>
          <w:rFonts w:ascii="Times New Roman" w:hAnsi="Times New Roman" w:cs="Times New Roman"/>
        </w:rPr>
        <w:t>es</w:t>
      </w:r>
      <w:r w:rsidR="00D44E3B" w:rsidRPr="00D44E3B">
        <w:rPr>
          <w:rFonts w:ascii="Times New Roman" w:hAnsi="Times New Roman" w:cs="Times New Roman"/>
        </w:rPr>
        <w:t xml:space="preserve"> and ratings-based measures</w:t>
      </w:r>
      <w:r w:rsidR="00E34E6C" w:rsidRPr="00D44E3B">
        <w:rPr>
          <w:rFonts w:ascii="Times New Roman" w:hAnsi="Times New Roman" w:cs="Times New Roman"/>
        </w:rPr>
        <w:t xml:space="preserve">, </w:t>
      </w:r>
      <w:r w:rsidR="00E34E6C">
        <w:rPr>
          <w:rFonts w:ascii="Times New Roman" w:hAnsi="Times New Roman" w:cs="Times New Roman"/>
        </w:rPr>
        <w:t xml:space="preserve">with </w:t>
      </w:r>
      <w:r w:rsidR="00855215">
        <w:rPr>
          <w:rFonts w:ascii="Times New Roman" w:hAnsi="Times New Roman" w:cs="Times New Roman"/>
        </w:rPr>
        <w:t xml:space="preserve">the </w:t>
      </w:r>
      <w:r w:rsidR="00E34E6C" w:rsidRPr="00E34E6C">
        <w:rPr>
          <w:rFonts w:ascii="Times New Roman" w:hAnsi="Times New Roman" w:cs="Times New Roman"/>
        </w:rPr>
        <w:t>ignored</w:t>
      </w:r>
      <w:r w:rsidR="00E34E6C">
        <w:rPr>
          <w:rFonts w:ascii="Times New Roman" w:hAnsi="Times New Roman" w:cs="Times New Roman"/>
        </w:rPr>
        <w:t xml:space="preserve"> </w:t>
      </w:r>
      <w:r w:rsidR="00E34E6C" w:rsidRPr="00E34E6C">
        <w:rPr>
          <w:rFonts w:ascii="Times New Roman" w:hAnsi="Times New Roman" w:cs="Times New Roman"/>
        </w:rPr>
        <w:t>influence of</w:t>
      </w:r>
      <w:r w:rsidR="00E34E6C">
        <w:rPr>
          <w:rFonts w:ascii="Times New Roman" w:hAnsi="Times New Roman" w:cs="Times New Roman"/>
        </w:rPr>
        <w:t xml:space="preserve"> </w:t>
      </w:r>
      <w:r w:rsidR="00855215" w:rsidRPr="00855215">
        <w:rPr>
          <w:rFonts w:ascii="Times New Roman" w:hAnsi="Times New Roman" w:cs="Times New Roman"/>
        </w:rPr>
        <w:t>helpful votes</w:t>
      </w:r>
      <w:r w:rsidR="00087700">
        <w:rPr>
          <w:rFonts w:ascii="Times New Roman" w:hAnsi="Times New Roman" w:cs="Times New Roman"/>
        </w:rPr>
        <w:t>.</w:t>
      </w:r>
    </w:p>
    <w:p w:rsidR="00F20F6C" w:rsidRDefault="0063084F" w:rsidP="00FD7F86">
      <w:pPr>
        <w:rPr>
          <w:rFonts w:ascii="Times New Roman" w:hAnsi="Times New Roman" w:cs="Times New Roman"/>
        </w:rPr>
      </w:pPr>
      <w:r w:rsidRPr="0063084F">
        <w:rPr>
          <w:rFonts w:ascii="Times New Roman" w:hAnsi="Times New Roman" w:cs="Times New Roman"/>
        </w:rPr>
        <w:t xml:space="preserve">We have chosen one product for each category as a sample to show how we </w:t>
      </w:r>
      <w:bookmarkStart w:id="0" w:name="OLE_LINK3"/>
      <w:bookmarkStart w:id="1" w:name="OLE_LINK4"/>
      <w:r w:rsidR="00FD7F86">
        <w:rPr>
          <w:rFonts w:ascii="Times New Roman" w:hAnsi="Times New Roman" w:cs="Times New Roman"/>
        </w:rPr>
        <w:t>d</w:t>
      </w:r>
      <w:r w:rsidR="00FD7F86" w:rsidRPr="00FD7F86">
        <w:rPr>
          <w:rFonts w:ascii="Times New Roman" w:hAnsi="Times New Roman" w:cs="Times New Roman"/>
        </w:rPr>
        <w:t xml:space="preserve">etermine </w:t>
      </w:r>
      <w:bookmarkEnd w:id="0"/>
      <w:bookmarkEnd w:id="1"/>
      <w:r w:rsidR="0094226C">
        <w:rPr>
          <w:rFonts w:ascii="Times New Roman" w:hAnsi="Times New Roman" w:cs="Times New Roman"/>
        </w:rPr>
        <w:t xml:space="preserve">whether </w:t>
      </w:r>
      <w:r w:rsidR="00FD7F86" w:rsidRPr="00FD7F86">
        <w:rPr>
          <w:rFonts w:ascii="Times New Roman" w:hAnsi="Times New Roman" w:cs="Times New Roman"/>
        </w:rPr>
        <w:t xml:space="preserve">a </w:t>
      </w:r>
      <w:r w:rsidR="00655F6F" w:rsidRPr="00FD7F86">
        <w:rPr>
          <w:rFonts w:ascii="Times New Roman" w:hAnsi="Times New Roman" w:cs="Times New Roman"/>
        </w:rPr>
        <w:t>product</w:t>
      </w:r>
      <w:r w:rsidR="00655F6F" w:rsidRPr="00FD7F86">
        <w:rPr>
          <w:rFonts w:ascii="Times New Roman" w:hAnsi="Times New Roman" w:cs="Times New Roman"/>
        </w:rPr>
        <w:t xml:space="preserve"> </w:t>
      </w:r>
      <w:r w:rsidR="00FD7F86" w:rsidRPr="00FD7F86">
        <w:rPr>
          <w:rFonts w:ascii="Times New Roman" w:hAnsi="Times New Roman" w:cs="Times New Roman"/>
        </w:rPr>
        <w:t>potentially successful or failing</w:t>
      </w:r>
      <w:r w:rsidR="00655F6F">
        <w:rPr>
          <w:rFonts w:ascii="Times New Roman" w:hAnsi="Times New Roman" w:cs="Times New Roman"/>
        </w:rPr>
        <w:t>.</w:t>
      </w:r>
      <w:r w:rsidR="00FD7F86" w:rsidRPr="00FD7F86">
        <w:rPr>
          <w:rFonts w:ascii="Times New Roman" w:hAnsi="Times New Roman" w:cs="Times New Roman"/>
        </w:rPr>
        <w:t xml:space="preserve"> </w:t>
      </w:r>
    </w:p>
    <w:p w:rsidR="00AD5E7F" w:rsidRDefault="00AD5E7F" w:rsidP="00FD7F86">
      <w:pPr>
        <w:rPr>
          <w:rFonts w:ascii="Times New Roman" w:hAnsi="Times New Roman" w:cs="Times New Roman" w:hint="eastAsia"/>
        </w:rPr>
      </w:pPr>
      <w:r w:rsidRPr="00AD5E7F">
        <w:rPr>
          <w:rFonts w:ascii="Times New Roman" w:hAnsi="Times New Roman" w:cs="Times New Roman"/>
        </w:rPr>
        <w:t>The historical composite score of microwave is shown below</w:t>
      </w:r>
      <w:r>
        <w:rPr>
          <w:rFonts w:ascii="Times New Roman" w:hAnsi="Times New Roman" w:cs="Times New Roman" w:hint="eastAsia"/>
        </w:rPr>
        <w:t>：</w:t>
      </w:r>
    </w:p>
    <w:p w:rsidR="00F20F6C" w:rsidRDefault="00B136D6" w:rsidP="00FD7F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1ACAD9" wp14:editId="2C4C0D82">
            <wp:extent cx="5274310" cy="2545690"/>
            <wp:effectExtent l="0" t="0" r="2540" b="762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b="6942"/>
                    <a:stretch/>
                  </pic:blipFill>
                  <pic:spPr bwMode="auto">
                    <a:xfrm>
                      <a:off x="0" y="0"/>
                      <a:ext cx="5274310" cy="25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6D6" w:rsidRDefault="0022458F" w:rsidP="00FD7F86">
      <w:pPr>
        <w:rPr>
          <w:rFonts w:ascii="Times New Roman" w:hAnsi="Times New Roman" w:cs="Times New Roman"/>
        </w:rPr>
      </w:pPr>
      <w:r w:rsidRPr="0022458F">
        <w:rPr>
          <w:rFonts w:ascii="Times New Roman" w:hAnsi="Times New Roman" w:cs="Times New Roman"/>
        </w:rPr>
        <w:t xml:space="preserve">We use the expert model for prediction, </w:t>
      </w:r>
      <w:r>
        <w:rPr>
          <w:rFonts w:ascii="Times New Roman" w:hAnsi="Times New Roman" w:cs="Times New Roman" w:hint="eastAsia"/>
        </w:rPr>
        <w:t>which</w:t>
      </w:r>
      <w:r w:rsidRPr="0022458F">
        <w:rPr>
          <w:rFonts w:ascii="Times New Roman" w:hAnsi="Times New Roman" w:cs="Times New Roman"/>
        </w:rPr>
        <w:t xml:space="preserve"> will provide a model with minimum error based on the known sequence data</w:t>
      </w:r>
      <w:r>
        <w:rPr>
          <w:rFonts w:ascii="Times New Roman" w:hAnsi="Times New Roman" w:cs="Times New Roman"/>
        </w:rPr>
        <w:t>.</w:t>
      </w:r>
    </w:p>
    <w:p w:rsidR="0022458F" w:rsidRDefault="0022458F" w:rsidP="00FD7F86">
      <w:pPr>
        <w:rPr>
          <w:rFonts w:ascii="Times New Roman" w:hAnsi="Times New Roman" w:cs="Times New Roman"/>
        </w:rPr>
      </w:pPr>
      <w:r w:rsidRPr="0022458F">
        <w:rPr>
          <w:rFonts w:ascii="Times New Roman" w:hAnsi="Times New Roman" w:cs="Times New Roman"/>
        </w:rPr>
        <w:t>The most suitable model in the model description table is the simple seasonal model.</w:t>
      </w:r>
    </w:p>
    <w:p w:rsidR="0022458F" w:rsidRDefault="00A67F65" w:rsidP="00FD7F86">
      <w:pPr>
        <w:rPr>
          <w:rFonts w:ascii="Times New Roman" w:hAnsi="Times New Roman" w:cs="Times New Roman"/>
        </w:rPr>
      </w:pPr>
      <w:r w:rsidRPr="00A67F65">
        <w:rPr>
          <w:rFonts w:ascii="Times New Roman" w:hAnsi="Times New Roman" w:cs="Times New Roman"/>
        </w:rPr>
        <w:t>The stable R-square obtained by model fitting test is</w:t>
      </w:r>
      <w:r>
        <w:rPr>
          <w:rFonts w:ascii="Times New Roman" w:hAnsi="Times New Roman" w:cs="Times New Roman"/>
        </w:rPr>
        <w:t xml:space="preserve"> 0.908</w:t>
      </w:r>
      <w:r w:rsidR="00665FF2">
        <w:rPr>
          <w:rFonts w:ascii="Times New Roman" w:hAnsi="Times New Roman" w:cs="Times New Roman"/>
        </w:rPr>
        <w:t xml:space="preserve">, which </w:t>
      </w:r>
      <w:r w:rsidR="00665FF2" w:rsidRPr="00665FF2">
        <w:rPr>
          <w:rFonts w:ascii="Times New Roman" w:hAnsi="Times New Roman" w:cs="Times New Roman"/>
        </w:rPr>
        <w:t>shows that the model is highly correlated</w:t>
      </w:r>
      <w:r w:rsidR="00665FF2">
        <w:rPr>
          <w:rFonts w:ascii="Times New Roman" w:hAnsi="Times New Roman" w:cs="Times New Roman"/>
        </w:rPr>
        <w:t>.</w:t>
      </w:r>
      <w:r w:rsidR="00A071F6" w:rsidRPr="00A071F6">
        <w:t xml:space="preserve"> </w:t>
      </w:r>
      <w:r w:rsidR="00A071F6" w:rsidRPr="00A071F6">
        <w:rPr>
          <w:rFonts w:ascii="Times New Roman" w:hAnsi="Times New Roman" w:cs="Times New Roman"/>
        </w:rPr>
        <w:t>Both ACF and PACF are within their respective ranges, with no significant difference from 0. The test passed.</w:t>
      </w:r>
    </w:p>
    <w:tbl>
      <w:tblPr>
        <w:tblW w:w="2410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275DBD" w:rsidRPr="00955CAC" w:rsidTr="00275DBD">
        <w:trPr>
          <w:trHeight w:val="319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/>
                <w:color w:val="264A60"/>
                <w:kern w:val="0"/>
                <w:sz w:val="18"/>
                <w:szCs w:val="18"/>
              </w:rPr>
            </w:pPr>
            <w:r w:rsidRPr="00275DBD">
              <w:rPr>
                <w:rFonts w:ascii="MingLiU" w:eastAsia="MingLiU" w:hAnsi="宋体" w:cs="宋体"/>
                <w:color w:val="264A60"/>
                <w:kern w:val="0"/>
                <w:sz w:val="18"/>
                <w:szCs w:val="18"/>
              </w:rPr>
              <w:t>statistical matching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:rsidR="00275DBD" w:rsidRPr="00955CAC" w:rsidRDefault="001D30F3" w:rsidP="00955CAC">
            <w:pPr>
              <w:widowControl/>
              <w:jc w:val="center"/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  <w:t>A</w:t>
            </w:r>
            <w:r>
              <w:rPr>
                <w:rFonts w:ascii="MingLiU" w:eastAsiaTheme="minorEastAsia" w:hAnsi="宋体" w:cs="宋体"/>
                <w:color w:val="264A60"/>
                <w:kern w:val="0"/>
                <w:sz w:val="18"/>
                <w:szCs w:val="18"/>
              </w:rPr>
              <w:t>VG</w:t>
            </w:r>
          </w:p>
        </w:tc>
      </w:tr>
      <w:tr w:rsidR="00275DBD" w:rsidRPr="00955CAC" w:rsidTr="00275DBD">
        <w:trPr>
          <w:trHeight w:val="319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152935"/>
              <w:right w:val="nil"/>
            </w:tcBorders>
            <w:vAlign w:val="center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vAlign w:val="center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/>
                <w:color w:val="264A60"/>
                <w:kern w:val="0"/>
                <w:sz w:val="18"/>
                <w:szCs w:val="18"/>
              </w:rPr>
            </w:pP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275DBD">
            <w:pPr>
              <w:widowControl/>
              <w:jc w:val="left"/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  <w:t>s</w:t>
            </w:r>
            <w:r>
              <w:rPr>
                <w:rFonts w:ascii="MingLiU" w:eastAsiaTheme="minorEastAsia" w:hAnsi="宋体" w:cs="宋体"/>
                <w:color w:val="264A60"/>
                <w:kern w:val="0"/>
                <w:sz w:val="18"/>
                <w:szCs w:val="18"/>
              </w:rPr>
              <w:t>table</w:t>
            </w: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 xml:space="preserve"> R</w:t>
            </w:r>
            <w:r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0.908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275DBD">
            <w:pPr>
              <w:widowControl/>
              <w:jc w:val="left"/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R</w:t>
            </w:r>
            <w:r>
              <w:rPr>
                <w:rFonts w:ascii="MingLiU" w:eastAsia="MingLiU" w:hAnsi="宋体" w:cs="宋体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0.813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0.147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4.888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MaxAPE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14.943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0.099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MaxAE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0.297</w:t>
            </w:r>
          </w:p>
        </w:tc>
      </w:tr>
      <w:tr w:rsidR="00275DBD" w:rsidRPr="00955CAC" w:rsidTr="00275DBD">
        <w:trPr>
          <w:trHeight w:val="342"/>
        </w:trPr>
        <w:tc>
          <w:tcPr>
            <w:tcW w:w="127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E0E0E0"/>
            <w:hideMark/>
          </w:tcPr>
          <w:p w:rsidR="00275DBD" w:rsidRPr="00955CAC" w:rsidRDefault="00275DBD" w:rsidP="00955CAC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BIC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:rsidR="00275DBD" w:rsidRPr="00955CAC" w:rsidRDefault="00275DBD" w:rsidP="00955CAC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5CAC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-3.512</w:t>
            </w:r>
          </w:p>
        </w:tc>
      </w:tr>
    </w:tbl>
    <w:p w:rsidR="00955CAC" w:rsidRDefault="006F6FF9" w:rsidP="00FD7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3102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7E" w:rsidRDefault="0090001B" w:rsidP="0090001B">
      <w:pPr>
        <w:rPr>
          <w:rFonts w:ascii="Times New Roman" w:hAnsi="Times New Roman" w:cs="Times New Roman"/>
        </w:rPr>
      </w:pPr>
      <w:r w:rsidRPr="0090001B">
        <w:rPr>
          <w:rFonts w:ascii="Times New Roman" w:hAnsi="Times New Roman" w:cs="Times New Roman"/>
        </w:rPr>
        <w:t xml:space="preserve">To solve data quality problems for time series analysis and decision-making, a predictionbased </w:t>
      </w:r>
      <w:r w:rsidR="008E417B">
        <w:rPr>
          <w:rFonts w:ascii="Times New Roman" w:hAnsi="Times New Roman" w:cs="Times New Roman"/>
        </w:rPr>
        <w:t>s</w:t>
      </w:r>
      <w:r w:rsidR="008E417B" w:rsidRPr="008E417B">
        <w:rPr>
          <w:rFonts w:ascii="Times New Roman" w:hAnsi="Times New Roman" w:cs="Times New Roman"/>
        </w:rPr>
        <w:t>liding window prediction</w:t>
      </w:r>
      <w:r w:rsidRPr="0090001B">
        <w:rPr>
          <w:rFonts w:ascii="Times New Roman" w:hAnsi="Times New Roman" w:cs="Times New Roman"/>
        </w:rPr>
        <w:t xml:space="preserve"> algorithm was proposed.</w:t>
      </w:r>
      <w:r w:rsidR="00D51089">
        <w:rPr>
          <w:rFonts w:ascii="Times New Roman" w:hAnsi="Times New Roman" w:cs="Times New Roman"/>
        </w:rPr>
        <w:t xml:space="preserve"> </w:t>
      </w:r>
      <w:r w:rsidR="00D51089" w:rsidRPr="00D51089">
        <w:rPr>
          <w:rFonts w:ascii="Times New Roman" w:hAnsi="Times New Roman" w:cs="Times New Roman"/>
        </w:rPr>
        <w:t xml:space="preserve">The method first split given </w:t>
      </w:r>
      <w:r w:rsidR="00D51089">
        <w:rPr>
          <w:rFonts w:ascii="Times New Roman" w:hAnsi="Times New Roman" w:cs="Times New Roman"/>
        </w:rPr>
        <w:t>product</w:t>
      </w:r>
      <w:r w:rsidR="00D4593D">
        <w:rPr>
          <w:rFonts w:ascii="Times New Roman" w:hAnsi="Times New Roman" w:cs="Times New Roman"/>
        </w:rPr>
        <w:t>’s</w:t>
      </w:r>
      <w:r w:rsidR="00D51089" w:rsidRPr="00D51089">
        <w:rPr>
          <w:rFonts w:ascii="Times New Roman" w:hAnsi="Times New Roman" w:cs="Times New Roman"/>
        </w:rPr>
        <w:t xml:space="preserve"> time series into subsequences so as to build a forecasting model to predict future values</w:t>
      </w:r>
      <w:r w:rsidR="00D4593D">
        <w:rPr>
          <w:rFonts w:ascii="Times New Roman" w:hAnsi="Times New Roman" w:cs="Times New Roman"/>
        </w:rPr>
        <w:t>, and t</w:t>
      </w:r>
      <w:r w:rsidR="00D4593D" w:rsidRPr="00D4593D">
        <w:rPr>
          <w:rFonts w:ascii="Times New Roman" w:hAnsi="Times New Roman" w:cs="Times New Roman"/>
        </w:rPr>
        <w:t xml:space="preserve">hen the predicted value is also assumed to be known value, </w:t>
      </w:r>
      <w:r w:rsidR="0043767E">
        <w:rPr>
          <w:rFonts w:ascii="Times New Roman" w:hAnsi="Times New Roman" w:cs="Times New Roman"/>
        </w:rPr>
        <w:t xml:space="preserve">to </w:t>
      </w:r>
      <w:r w:rsidR="00D4593D" w:rsidRPr="00D4593D">
        <w:rPr>
          <w:rFonts w:ascii="Times New Roman" w:hAnsi="Times New Roman" w:cs="Times New Roman"/>
        </w:rPr>
        <w:t>continue to predict the future data</w:t>
      </w:r>
      <w:r w:rsidR="0043767E">
        <w:rPr>
          <w:rFonts w:ascii="Times New Roman" w:hAnsi="Times New Roman" w:cs="Times New Roman"/>
        </w:rPr>
        <w:t>.</w:t>
      </w:r>
    </w:p>
    <w:p w:rsidR="005F7466" w:rsidRDefault="005F7466" w:rsidP="0090001B">
      <w:pPr>
        <w:rPr>
          <w:rFonts w:ascii="Times New Roman" w:hAnsi="Times New Roman" w:cs="Times New Roman"/>
        </w:rPr>
      </w:pPr>
      <w:r w:rsidRPr="005F7466">
        <w:rPr>
          <w:rFonts w:ascii="Times New Roman" w:hAnsi="Times New Roman" w:cs="Times New Roman"/>
        </w:rPr>
        <w:t>First, we used nearly two years of data to predict the trend of products in the next four months</w:t>
      </w:r>
      <w:r w:rsidR="00673937">
        <w:rPr>
          <w:rFonts w:ascii="Times New Roman" w:hAnsi="Times New Roman" w:cs="Times New Roman"/>
        </w:rPr>
        <w:t>.</w:t>
      </w:r>
      <w:r w:rsidR="003F4E10" w:rsidRPr="003F4E10">
        <w:t xml:space="preserve"> </w:t>
      </w:r>
      <w:r w:rsidR="003F4E10">
        <w:rPr>
          <w:rFonts w:ascii="Times New Roman" w:hAnsi="Times New Roman" w:cs="Times New Roman"/>
        </w:rPr>
        <w:t>Then</w:t>
      </w:r>
      <w:r w:rsidR="003F4E10" w:rsidRPr="003F4E10">
        <w:rPr>
          <w:rFonts w:ascii="Times New Roman" w:hAnsi="Times New Roman" w:cs="Times New Roman"/>
        </w:rPr>
        <w:t>, the previous monthly data were used to predict where the product would go in the next three months</w:t>
      </w:r>
      <w:r w:rsidR="003F4E10">
        <w:rPr>
          <w:rFonts w:ascii="Times New Roman" w:hAnsi="Times New Roman" w:cs="Times New Roman"/>
        </w:rPr>
        <w:t>.</w:t>
      </w:r>
      <w:r w:rsidR="00673937" w:rsidRPr="00673937">
        <w:t xml:space="preserve"> </w:t>
      </w:r>
      <w:r w:rsidR="00673937" w:rsidRPr="00673937">
        <w:rPr>
          <w:rFonts w:ascii="Times New Roman" w:hAnsi="Times New Roman" w:cs="Times New Roman"/>
        </w:rPr>
        <w:t>The predicted results are as follows</w:t>
      </w:r>
      <w:r w:rsidR="00673937">
        <w:rPr>
          <w:rFonts w:ascii="Times New Roman" w:hAnsi="Times New Roman" w:cs="Times New Roman"/>
        </w:rPr>
        <w:t>:</w:t>
      </w:r>
    </w:p>
    <w:p w:rsidR="00673937" w:rsidRDefault="004A1E42" w:rsidP="00900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883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4D" w:rsidRDefault="00226D8D" w:rsidP="0090001B">
      <w:pPr>
        <w:rPr>
          <w:rFonts w:ascii="Times New Roman" w:hAnsi="Times New Roman" w:cs="Times New Roman"/>
        </w:rPr>
      </w:pPr>
      <w:r w:rsidRPr="00226D8D">
        <w:rPr>
          <w:rFonts w:ascii="Times New Roman" w:hAnsi="Times New Roman" w:cs="Times New Roman"/>
        </w:rPr>
        <w:t xml:space="preserve">It can be seen from the figure that </w:t>
      </w:r>
      <w:r w:rsidRPr="00226D8D">
        <w:rPr>
          <w:rFonts w:ascii="Times New Roman" w:hAnsi="Times New Roman" w:cs="Times New Roman"/>
        </w:rPr>
        <w:t>the time sequence diagram</w:t>
      </w:r>
      <w:r>
        <w:rPr>
          <w:rFonts w:ascii="Times New Roman" w:hAnsi="Times New Roman" w:cs="Times New Roman"/>
        </w:rPr>
        <w:t>s</w:t>
      </w:r>
      <w:r w:rsidRPr="00226D8D">
        <w:rPr>
          <w:rFonts w:ascii="Times New Roman" w:hAnsi="Times New Roman" w:cs="Times New Roman"/>
        </w:rPr>
        <w:t xml:space="preserve"> of</w:t>
      </w:r>
      <w:r w:rsidR="009D27A1">
        <w:rPr>
          <w:rFonts w:ascii="Times New Roman" w:hAnsi="Times New Roman" w:cs="Times New Roman"/>
        </w:rPr>
        <w:t xml:space="preserve"> </w:t>
      </w:r>
      <w:r w:rsidRPr="00226D8D">
        <w:rPr>
          <w:rFonts w:ascii="Times New Roman" w:hAnsi="Times New Roman" w:cs="Times New Roman"/>
        </w:rPr>
        <w:t>real data and fitted data coincide well, which indicates that the simple seasonal model has a better fitting effect on the original data.</w:t>
      </w:r>
      <w:r w:rsidR="009D27A1">
        <w:rPr>
          <w:rFonts w:ascii="Times New Roman" w:hAnsi="Times New Roman" w:cs="Times New Roman"/>
        </w:rPr>
        <w:t xml:space="preserve"> </w:t>
      </w:r>
      <w:r w:rsidR="009D27A1" w:rsidRPr="009D27A1">
        <w:rPr>
          <w:rFonts w:ascii="Times New Roman" w:hAnsi="Times New Roman" w:cs="Times New Roman"/>
        </w:rPr>
        <w:t>We do a seasonal breakdown of the data</w:t>
      </w:r>
      <w:r w:rsidR="009D27A1">
        <w:rPr>
          <w:rFonts w:ascii="Times New Roman" w:hAnsi="Times New Roman" w:cs="Times New Roman"/>
        </w:rPr>
        <w:t>.</w:t>
      </w:r>
    </w:p>
    <w:p w:rsidR="009D27A1" w:rsidRDefault="00982705" w:rsidP="00900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3102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2260"/>
        <w:gridCol w:w="2740"/>
      </w:tblGrid>
      <w:tr w:rsidR="00957BDA" w:rsidRPr="00957BDA" w:rsidTr="00957BDA">
        <w:trPr>
          <w:trHeight w:val="420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7BDA" w:rsidRPr="00957BDA" w:rsidRDefault="00957BDA" w:rsidP="00957BDA">
            <w:pPr>
              <w:widowControl/>
              <w:jc w:val="center"/>
              <w:rPr>
                <w:rFonts w:ascii="PMingLiU" w:eastAsia="PMingLiU" w:hAnsi="宋体" w:cs="宋体"/>
                <w:b/>
                <w:bCs/>
                <w:color w:val="010205"/>
                <w:kern w:val="0"/>
                <w:sz w:val="22"/>
              </w:rPr>
            </w:pPr>
            <w:r w:rsidRPr="00957BDA">
              <w:rPr>
                <w:rFonts w:ascii="PMingLiU" w:eastAsia="PMingLiU" w:hAnsi="宋体" w:cs="宋体"/>
                <w:b/>
                <w:bCs/>
                <w:color w:val="010205"/>
                <w:kern w:val="0"/>
                <w:sz w:val="22"/>
              </w:rPr>
              <w:t>Seasonal factor</w:t>
            </w:r>
          </w:p>
        </w:tc>
      </w:tr>
      <w:tr w:rsidR="00957BDA" w:rsidRPr="00957BDA" w:rsidTr="00957BDA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eastAsiaTheme="minorEastAsia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MingLiU" w:eastAsiaTheme="minorEastAsia" w:hAnsi="宋体" w:cs="宋体"/>
                <w:color w:val="000000"/>
                <w:kern w:val="0"/>
                <w:sz w:val="18"/>
                <w:szCs w:val="18"/>
              </w:rPr>
              <w:t>ame</w:t>
            </w:r>
            <w:r w:rsidRPr="00957BDA">
              <w:rPr>
                <w:rFonts w:ascii="MingLiU" w:eastAsia="MingLiU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00000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00000"/>
                <w:kern w:val="0"/>
                <w:sz w:val="18"/>
                <w:szCs w:val="18"/>
              </w:rPr>
              <w:t>rating</w:t>
            </w:r>
          </w:p>
        </w:tc>
      </w:tr>
      <w:tr w:rsidR="00957BDA" w:rsidRPr="00957BDA" w:rsidTr="00957BDA">
        <w:trPr>
          <w:trHeight w:val="319"/>
        </w:trPr>
        <w:tc>
          <w:tcPr>
            <w:tcW w:w="226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:rsidR="00957BDA" w:rsidRPr="00957BDA" w:rsidRDefault="00FE2EDB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FE2EDB">
              <w:rPr>
                <w:rFonts w:ascii="MingLiU" w:eastAsia="MingLiU" w:hAnsi="宋体" w:cs="宋体"/>
                <w:color w:val="264A60"/>
                <w:kern w:val="0"/>
                <w:sz w:val="18"/>
                <w:szCs w:val="18"/>
              </w:rPr>
              <w:t>cycle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:rsidR="00957BDA" w:rsidRPr="00957BDA" w:rsidRDefault="00FE2EDB" w:rsidP="00957BDA">
            <w:pPr>
              <w:widowControl/>
              <w:jc w:val="center"/>
              <w:rPr>
                <w:rFonts w:ascii="MingLiU" w:eastAsiaTheme="minorEastAsia" w:hAnsi="宋体" w:cs="宋体" w:hint="eastAsia"/>
                <w:color w:val="264A60"/>
                <w:kern w:val="0"/>
                <w:sz w:val="18"/>
                <w:szCs w:val="18"/>
              </w:rPr>
            </w:pPr>
            <w:r>
              <w:rPr>
                <w:rFonts w:ascii="MingLiU" w:eastAsiaTheme="minorEastAsia" w:hAnsi="宋体" w:cs="宋体"/>
                <w:color w:val="264A60"/>
                <w:kern w:val="0"/>
                <w:sz w:val="18"/>
                <w:szCs w:val="18"/>
              </w:rPr>
              <w:t>Seasonal factor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0.202886503616550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0.635392891679713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0.010326788519055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-0.278963673215924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-0.204705249341441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0.124851080845626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0.075438649012786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0.338933294328234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-0.456152812465383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-0.031461649503738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-0.232407556089949</w:t>
            </w:r>
          </w:p>
        </w:tc>
      </w:tr>
      <w:tr w:rsidR="00957BDA" w:rsidRPr="00957BDA" w:rsidTr="00957BDA">
        <w:trPr>
          <w:trHeight w:val="342"/>
        </w:trPr>
        <w:tc>
          <w:tcPr>
            <w:tcW w:w="226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000000" w:fill="E0E0E0"/>
            <w:noWrap/>
            <w:hideMark/>
          </w:tcPr>
          <w:p w:rsidR="00957BDA" w:rsidRPr="00957BDA" w:rsidRDefault="00957BDA" w:rsidP="00957BDA">
            <w:pPr>
              <w:widowControl/>
              <w:jc w:val="left"/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noWrap/>
            <w:hideMark/>
          </w:tcPr>
          <w:p w:rsidR="00957BDA" w:rsidRPr="00957BDA" w:rsidRDefault="00957BDA" w:rsidP="00957BDA">
            <w:pPr>
              <w:widowControl/>
              <w:jc w:val="right"/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</w:pPr>
            <w:r w:rsidRPr="00957BDA">
              <w:rPr>
                <w:rFonts w:ascii="MingLiU" w:eastAsia="MingLiU" w:hAnsi="宋体" w:cs="宋体" w:hint="eastAsia"/>
                <w:color w:val="010205"/>
                <w:kern w:val="0"/>
                <w:sz w:val="18"/>
                <w:szCs w:val="18"/>
              </w:rPr>
              <w:t>-0.184138267385530</w:t>
            </w:r>
          </w:p>
        </w:tc>
      </w:tr>
    </w:tbl>
    <w:p w:rsidR="00982705" w:rsidRDefault="00B86C74" w:rsidP="0090001B">
      <w:pPr>
        <w:rPr>
          <w:rFonts w:ascii="Times New Roman" w:hAnsi="Times New Roman" w:cs="Times New Roman"/>
        </w:rPr>
      </w:pPr>
      <w:r w:rsidRPr="00B86C74">
        <w:rPr>
          <w:rFonts w:ascii="Times New Roman" w:hAnsi="Times New Roman" w:cs="Times New Roman"/>
        </w:rPr>
        <w:t xml:space="preserve">The seasonal factor in the first </w:t>
      </w:r>
      <w:r>
        <w:rPr>
          <w:rFonts w:ascii="Times New Roman" w:hAnsi="Times New Roman" w:cs="Times New Roman"/>
        </w:rPr>
        <w:t xml:space="preserve">and the </w:t>
      </w:r>
      <w:r w:rsidRPr="00B86C74">
        <w:rPr>
          <w:rFonts w:ascii="Times New Roman" w:hAnsi="Times New Roman" w:cs="Times New Roman"/>
        </w:rPr>
        <w:t xml:space="preserve">three quarters was positive, </w:t>
      </w:r>
      <w:r>
        <w:rPr>
          <w:rFonts w:ascii="Times New Roman" w:hAnsi="Times New Roman" w:cs="Times New Roman"/>
        </w:rPr>
        <w:t>while</w:t>
      </w:r>
      <w:r w:rsidRPr="00B86C74">
        <w:rPr>
          <w:rFonts w:ascii="Times New Roman" w:hAnsi="Times New Roman" w:cs="Times New Roman"/>
        </w:rPr>
        <w:t xml:space="preserve"> the seasonal factor in the second and </w:t>
      </w:r>
      <w:r>
        <w:rPr>
          <w:rFonts w:ascii="Times New Roman" w:hAnsi="Times New Roman" w:cs="Times New Roman"/>
        </w:rPr>
        <w:t xml:space="preserve">the </w:t>
      </w:r>
      <w:r w:rsidRPr="00B86C74">
        <w:rPr>
          <w:rFonts w:ascii="Times New Roman" w:hAnsi="Times New Roman" w:cs="Times New Roman"/>
        </w:rPr>
        <w:t xml:space="preserve">fourth quarters was negative, </w:t>
      </w:r>
      <w:r w:rsidR="00172874">
        <w:rPr>
          <w:rFonts w:ascii="Times New Roman" w:hAnsi="Times New Roman" w:cs="Times New Roman"/>
        </w:rPr>
        <w:t xml:space="preserve">which </w:t>
      </w:r>
      <w:r w:rsidRPr="00B86C74">
        <w:rPr>
          <w:rFonts w:ascii="Times New Roman" w:hAnsi="Times New Roman" w:cs="Times New Roman"/>
        </w:rPr>
        <w:t xml:space="preserve">indicating that the average score of the product in the first and </w:t>
      </w:r>
      <w:r w:rsidR="00172874">
        <w:rPr>
          <w:rFonts w:ascii="Times New Roman" w:hAnsi="Times New Roman" w:cs="Times New Roman"/>
        </w:rPr>
        <w:t xml:space="preserve">the </w:t>
      </w:r>
      <w:r w:rsidRPr="00B86C74">
        <w:rPr>
          <w:rFonts w:ascii="Times New Roman" w:hAnsi="Times New Roman" w:cs="Times New Roman"/>
        </w:rPr>
        <w:t>third quarters was higher than that in the second and</w:t>
      </w:r>
      <w:r w:rsidR="00172874">
        <w:rPr>
          <w:rFonts w:ascii="Times New Roman" w:hAnsi="Times New Roman" w:cs="Times New Roman"/>
        </w:rPr>
        <w:t xml:space="preserve"> the</w:t>
      </w:r>
      <w:r w:rsidRPr="00B86C74">
        <w:rPr>
          <w:rFonts w:ascii="Times New Roman" w:hAnsi="Times New Roman" w:cs="Times New Roman"/>
        </w:rPr>
        <w:t xml:space="preserve"> fourth quarters.Seasonal decomposition is</w:t>
      </w:r>
      <w:r w:rsidR="006C3518">
        <w:rPr>
          <w:rFonts w:ascii="Times New Roman" w:hAnsi="Times New Roman" w:cs="Times New Roman"/>
        </w:rPr>
        <w:t xml:space="preserve"> to separate the seasonal curve</w:t>
      </w:r>
      <w:r w:rsidRPr="00B86C74">
        <w:rPr>
          <w:rFonts w:ascii="Times New Roman" w:hAnsi="Times New Roman" w:cs="Times New Roman"/>
        </w:rPr>
        <w:t xml:space="preserve"> </w:t>
      </w:r>
      <w:r w:rsidR="006C3518">
        <w:rPr>
          <w:rFonts w:ascii="Times New Roman" w:hAnsi="Times New Roman" w:cs="Times New Roman"/>
        </w:rPr>
        <w:t xml:space="preserve">and </w:t>
      </w:r>
      <w:r w:rsidRPr="00B86C74">
        <w:rPr>
          <w:rFonts w:ascii="Times New Roman" w:hAnsi="Times New Roman" w:cs="Times New Roman"/>
        </w:rPr>
        <w:t>observe the overall trend of the product.As you can see from the chart above, the product's rating has not been on the rise for a long time, so we don't consider it a success.</w:t>
      </w:r>
    </w:p>
    <w:p w:rsidR="006C3518" w:rsidRDefault="00BC5E17" w:rsidP="0090001B">
      <w:pPr>
        <w:rPr>
          <w:rFonts w:ascii="Times New Roman" w:hAnsi="Times New Roman" w:cs="Times New Roman"/>
        </w:rPr>
      </w:pPr>
      <w:r w:rsidRPr="00BC5E17">
        <w:rPr>
          <w:rFonts w:ascii="Times New Roman" w:hAnsi="Times New Roman" w:cs="Times New Roman"/>
        </w:rPr>
        <w:t>In the same way</w:t>
      </w:r>
      <w:r>
        <w:rPr>
          <w:rFonts w:ascii="Times New Roman" w:hAnsi="Times New Roman" w:cs="Times New Roman"/>
        </w:rPr>
        <w:t>,</w:t>
      </w:r>
      <w:r w:rsidRPr="00BC5E17">
        <w:rPr>
          <w:rFonts w:ascii="Times New Roman" w:hAnsi="Times New Roman" w:cs="Times New Roman"/>
        </w:rPr>
        <w:t xml:space="preserve"> we ev</w:t>
      </w:r>
      <w:r w:rsidR="0038030A">
        <w:rPr>
          <w:rFonts w:ascii="Times New Roman" w:hAnsi="Times New Roman" w:cs="Times New Roman"/>
        </w:rPr>
        <w:t>aluate the hair dryer and the pacifier.</w:t>
      </w:r>
      <w:r w:rsidR="005E099A">
        <w:rPr>
          <w:rFonts w:ascii="Times New Roman" w:hAnsi="Times New Roman" w:cs="Times New Roman"/>
        </w:rPr>
        <w:t xml:space="preserve"> The</w:t>
      </w:r>
      <w:r w:rsidR="00D969F5" w:rsidRPr="00D969F5">
        <w:t xml:space="preserve"> </w:t>
      </w:r>
      <w:r w:rsidR="00D969F5">
        <w:rPr>
          <w:rFonts w:ascii="Times New Roman" w:hAnsi="Times New Roman" w:cs="Times New Roman"/>
        </w:rPr>
        <w:t>Hair-dryer</w:t>
      </w:r>
      <w:r w:rsidR="00D969F5" w:rsidRPr="00D969F5">
        <w:rPr>
          <w:rFonts w:ascii="Times New Roman" w:hAnsi="Times New Roman" w:cs="Times New Roman"/>
        </w:rPr>
        <w:t xml:space="preserve"> </w:t>
      </w:r>
      <w:r w:rsidR="005E099A">
        <w:rPr>
          <w:rFonts w:ascii="Times New Roman" w:hAnsi="Times New Roman" w:cs="Times New Roman"/>
        </w:rPr>
        <w:t>is</w:t>
      </w:r>
      <w:r w:rsidR="00D969F5" w:rsidRPr="00D969F5">
        <w:rPr>
          <w:rFonts w:ascii="Times New Roman" w:hAnsi="Times New Roman" w:cs="Times New Roman"/>
        </w:rPr>
        <w:t xml:space="preserve"> no </w:t>
      </w:r>
      <w:r w:rsidR="005E099A">
        <w:rPr>
          <w:rFonts w:ascii="Times New Roman" w:hAnsi="Times New Roman" w:cs="Times New Roman"/>
        </w:rPr>
        <w:t>more on the rise than the microwave</w:t>
      </w:r>
      <w:r w:rsidR="00D969F5" w:rsidRPr="00D969F5">
        <w:rPr>
          <w:rFonts w:ascii="Times New Roman" w:hAnsi="Times New Roman" w:cs="Times New Roman"/>
        </w:rPr>
        <w:t>, but the rising trend of pacifier is obvious.</w:t>
      </w:r>
      <w:r w:rsidR="005E099A">
        <w:rPr>
          <w:rFonts w:ascii="Times New Roman" w:hAnsi="Times New Roman" w:cs="Times New Roman"/>
        </w:rPr>
        <w:t xml:space="preserve"> </w:t>
      </w:r>
      <w:r w:rsidR="00D969F5" w:rsidRPr="00D969F5">
        <w:rPr>
          <w:rFonts w:ascii="Times New Roman" w:hAnsi="Times New Roman" w:cs="Times New Roman"/>
        </w:rPr>
        <w:t>So we</w:t>
      </w:r>
      <w:r w:rsidR="00D969F5">
        <w:rPr>
          <w:rFonts w:ascii="Times New Roman" w:hAnsi="Times New Roman" w:cs="Times New Roman"/>
        </w:rPr>
        <w:t xml:space="preserve"> can say that this pacifier is</w:t>
      </w:r>
      <w:r w:rsidR="00D969F5" w:rsidRPr="00D969F5">
        <w:rPr>
          <w:rFonts w:ascii="Times New Roman" w:hAnsi="Times New Roman" w:cs="Times New Roman"/>
        </w:rPr>
        <w:t xml:space="preserve"> success</w:t>
      </w:r>
      <w:r w:rsidR="00D969F5">
        <w:rPr>
          <w:rFonts w:ascii="Times New Roman" w:hAnsi="Times New Roman" w:cs="Times New Roman"/>
        </w:rPr>
        <w:t>ful</w:t>
      </w:r>
      <w:r w:rsidR="00D969F5" w:rsidRPr="00D969F5">
        <w:rPr>
          <w:rFonts w:ascii="Times New Roman" w:hAnsi="Times New Roman" w:cs="Times New Roman"/>
        </w:rPr>
        <w:t>.</w:t>
      </w:r>
      <w:bookmarkStart w:id="2" w:name="_GoBack"/>
      <w:bookmarkEnd w:id="2"/>
    </w:p>
    <w:p w:rsidR="0038030A" w:rsidRDefault="00C00AA1" w:rsidP="00900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3102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1" w:rsidRPr="00FD7F86" w:rsidRDefault="00964382" w:rsidP="009000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3102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AA1" w:rsidRPr="00FD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A3"/>
    <w:rsid w:val="00087700"/>
    <w:rsid w:val="00172874"/>
    <w:rsid w:val="001A3A06"/>
    <w:rsid w:val="001D30F3"/>
    <w:rsid w:val="001F40DF"/>
    <w:rsid w:val="0022458F"/>
    <w:rsid w:val="00226D8D"/>
    <w:rsid w:val="00275DBD"/>
    <w:rsid w:val="0033667F"/>
    <w:rsid w:val="0038030A"/>
    <w:rsid w:val="00397012"/>
    <w:rsid w:val="0039771F"/>
    <w:rsid w:val="003A28A3"/>
    <w:rsid w:val="003F4E10"/>
    <w:rsid w:val="0043767E"/>
    <w:rsid w:val="004A1E42"/>
    <w:rsid w:val="00573A8A"/>
    <w:rsid w:val="00574816"/>
    <w:rsid w:val="005E099A"/>
    <w:rsid w:val="005F612C"/>
    <w:rsid w:val="005F7466"/>
    <w:rsid w:val="0063084F"/>
    <w:rsid w:val="00647E04"/>
    <w:rsid w:val="00655F6F"/>
    <w:rsid w:val="00665FF2"/>
    <w:rsid w:val="00673937"/>
    <w:rsid w:val="006C3518"/>
    <w:rsid w:val="006F6FF9"/>
    <w:rsid w:val="007C52FA"/>
    <w:rsid w:val="00855215"/>
    <w:rsid w:val="008675FD"/>
    <w:rsid w:val="008E417B"/>
    <w:rsid w:val="0090001B"/>
    <w:rsid w:val="0094226C"/>
    <w:rsid w:val="00955CAC"/>
    <w:rsid w:val="00957BDA"/>
    <w:rsid w:val="00964382"/>
    <w:rsid w:val="00982705"/>
    <w:rsid w:val="009D27A1"/>
    <w:rsid w:val="00A071F6"/>
    <w:rsid w:val="00A67F65"/>
    <w:rsid w:val="00A8644D"/>
    <w:rsid w:val="00AC305A"/>
    <w:rsid w:val="00AD5E7F"/>
    <w:rsid w:val="00B136D6"/>
    <w:rsid w:val="00B43E5F"/>
    <w:rsid w:val="00B86C74"/>
    <w:rsid w:val="00BC5E17"/>
    <w:rsid w:val="00C00AA1"/>
    <w:rsid w:val="00D44E3B"/>
    <w:rsid w:val="00D4593D"/>
    <w:rsid w:val="00D51089"/>
    <w:rsid w:val="00D969F5"/>
    <w:rsid w:val="00E34E6C"/>
    <w:rsid w:val="00EC6197"/>
    <w:rsid w:val="00F20F6C"/>
    <w:rsid w:val="00FD7F86"/>
    <w:rsid w:val="00FE2EDB"/>
    <w:rsid w:val="00F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3BB6"/>
  <w15:chartTrackingRefBased/>
  <w15:docId w15:val="{1F694471-5938-4E97-B86D-599E1735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Yisin</dc:creator>
  <cp:keywords/>
  <dc:description/>
  <cp:lastModifiedBy>Xiang Yisin</cp:lastModifiedBy>
  <cp:revision>2</cp:revision>
  <dcterms:created xsi:type="dcterms:W3CDTF">2020-03-09T16:23:00Z</dcterms:created>
  <dcterms:modified xsi:type="dcterms:W3CDTF">2020-03-09T18:22:00Z</dcterms:modified>
</cp:coreProperties>
</file>