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1080A" w14:textId="77777777" w:rsidR="004A17DA" w:rsidRDefault="004A17DA" w:rsidP="004A17DA">
      <w:pPr>
        <w:spacing w:after="240" w:line="360" w:lineRule="auto"/>
        <w:jc w:val="both"/>
        <w:rPr>
          <w:color w:val="000000"/>
        </w:rPr>
      </w:pPr>
      <w:r>
        <w:rPr>
          <w:color w:val="000000"/>
        </w:rPr>
        <w:t>These 10 questions are designed to move beyond simple definitions and instead require an analyst to synthesize core mental models, navigate methodological conflicts, and apply forensic logic to complex scenarios.</w:t>
      </w:r>
    </w:p>
    <w:p w14:paraId="040E47B2" w14:textId="77777777" w:rsidR="004A17DA" w:rsidRDefault="004A17DA" w:rsidP="004A17DA">
      <w:pPr>
        <w:spacing w:after="240" w:line="360" w:lineRule="auto"/>
        <w:jc w:val="both"/>
        <w:rPr>
          <w:color w:val="000000"/>
        </w:rPr>
      </w:pPr>
      <w:r>
        <w:rPr>
          <w:color w:val="000000"/>
        </w:rPr>
        <w:t>1. The Acquisition Dilemma</w:t>
      </w:r>
    </w:p>
    <w:p w14:paraId="32E125E5" w14:textId="77777777" w:rsidR="004A17DA" w:rsidRDefault="004A17DA" w:rsidP="004A17DA">
      <w:pPr>
        <w:spacing w:after="240" w:line="360" w:lineRule="auto"/>
        <w:jc w:val="both"/>
        <w:rPr>
          <w:color w:val="000000"/>
        </w:rPr>
      </w:pPr>
      <w:r>
        <w:rPr>
          <w:color w:val="000000"/>
        </w:rPr>
        <w:t>If you arrive at a scene where a suspect's laptop is </w:t>
      </w:r>
      <w:r>
        <w:rPr>
          <w:b/>
          <w:bCs/>
          <w:color w:val="000000"/>
        </w:rPr>
        <w:t>powered on and the hard drive is fully encrypted</w:t>
      </w:r>
      <w:r>
        <w:rPr>
          <w:color w:val="000000"/>
        </w:rPr>
        <w:t>, but your department’s standard operating procedure (SOP) mandates traditional </w:t>
      </w:r>
      <w:r>
        <w:rPr>
          <w:b/>
          <w:bCs/>
          <w:color w:val="000000"/>
        </w:rPr>
        <w:t>static acquisition</w:t>
      </w:r>
      <w:r>
        <w:rPr>
          <w:color w:val="000000"/>
        </w:rPr>
        <w:t>, why might following that SOP result in a total loss of evidence?</w:t>
      </w:r>
    </w:p>
    <w:p w14:paraId="02779ECF" w14:textId="77777777" w:rsidR="004A17DA" w:rsidRDefault="004A17DA" w:rsidP="004A17DA">
      <w:pPr>
        <w:numPr>
          <w:ilvl w:val="0"/>
          <w:numId w:val="18"/>
        </w:numPr>
        <w:spacing w:after="240" w:line="360" w:lineRule="auto"/>
        <w:jc w:val="both"/>
        <w:rPr>
          <w:color w:val="000000"/>
        </w:rPr>
      </w:pPr>
      <w:r>
        <w:rPr>
          <w:b/>
          <w:bCs/>
          <w:color w:val="000000"/>
        </w:rPr>
        <w:t>Deep Understanding:</w:t>
      </w:r>
      <w:r>
        <w:rPr>
          <w:color w:val="000000"/>
        </w:rPr>
        <w:t> Recognizes that while static acquisition is repeatable and preserves data integrity, it will render encrypted data inaccessible once the system is powered down, making </w:t>
      </w:r>
      <w:r>
        <w:rPr>
          <w:b/>
          <w:bCs/>
          <w:color w:val="000000"/>
        </w:rPr>
        <w:t>live acquisition</w:t>
      </w:r>
      <w:r>
        <w:rPr>
          <w:color w:val="000000"/>
        </w:rPr>
        <w:t> the only way to capture decryption keys from RAM.</w:t>
      </w:r>
    </w:p>
    <w:p w14:paraId="42140BCB" w14:textId="77777777" w:rsidR="004A17DA" w:rsidRDefault="004A17DA" w:rsidP="004A17DA">
      <w:pPr>
        <w:spacing w:after="240" w:line="360" w:lineRule="auto"/>
        <w:jc w:val="both"/>
        <w:rPr>
          <w:color w:val="000000"/>
        </w:rPr>
      </w:pPr>
      <w:r>
        <w:rPr>
          <w:color w:val="000000"/>
        </w:rPr>
        <w:t>2. Logic of the Order of Volatility</w:t>
      </w:r>
    </w:p>
    <w:p w14:paraId="1615451D" w14:textId="77777777" w:rsidR="004A17DA" w:rsidRDefault="004A17DA" w:rsidP="004A17DA">
      <w:pPr>
        <w:spacing w:after="240" w:line="360" w:lineRule="auto"/>
        <w:jc w:val="both"/>
        <w:rPr>
          <w:color w:val="000000"/>
        </w:rPr>
      </w:pPr>
      <w:r>
        <w:rPr>
          <w:color w:val="000000"/>
        </w:rPr>
        <w:t>A junior investigator wants to capture the </w:t>
      </w:r>
      <w:r>
        <w:rPr>
          <w:b/>
          <w:bCs/>
          <w:color w:val="000000"/>
        </w:rPr>
        <w:t>Windows Registry</w:t>
      </w:r>
      <w:r>
        <w:rPr>
          <w:color w:val="000000"/>
        </w:rPr>
        <w:t> before capturing </w:t>
      </w:r>
      <w:r>
        <w:rPr>
          <w:b/>
          <w:bCs/>
          <w:color w:val="000000"/>
        </w:rPr>
        <w:t>RAM</w:t>
      </w:r>
      <w:r>
        <w:rPr>
          <w:color w:val="000000"/>
        </w:rPr>
        <w:t> because "the registry contains system configuration data." Why is this a fundamental violation of the </w:t>
      </w:r>
      <w:r>
        <w:rPr>
          <w:b/>
          <w:bCs/>
          <w:color w:val="000000"/>
        </w:rPr>
        <w:t>Order of Volatility</w:t>
      </w:r>
      <w:r>
        <w:rPr>
          <w:color w:val="000000"/>
        </w:rPr>
        <w:t>?</w:t>
      </w:r>
    </w:p>
    <w:p w14:paraId="49093643" w14:textId="77777777" w:rsidR="004A17DA" w:rsidRDefault="004A17DA" w:rsidP="004A17DA">
      <w:pPr>
        <w:numPr>
          <w:ilvl w:val="0"/>
          <w:numId w:val="19"/>
        </w:numPr>
        <w:spacing w:after="240" w:line="360" w:lineRule="auto"/>
        <w:jc w:val="both"/>
        <w:rPr>
          <w:color w:val="000000"/>
        </w:rPr>
      </w:pPr>
      <w:r>
        <w:rPr>
          <w:b/>
          <w:bCs/>
          <w:color w:val="000000"/>
        </w:rPr>
        <w:t>Deep Understanding:</w:t>
      </w:r>
      <w:r>
        <w:rPr>
          <w:color w:val="000000"/>
        </w:rPr>
        <w:t> Understands that everything done on a running computer modifies the system; therefore, one must capture the </w:t>
      </w:r>
      <w:r>
        <w:rPr>
          <w:b/>
          <w:bCs/>
          <w:color w:val="000000"/>
        </w:rPr>
        <w:t>most volatile data first</w:t>
      </w:r>
      <w:r>
        <w:rPr>
          <w:color w:val="000000"/>
        </w:rPr>
        <w:t> (like RAM) because it is lost in seconds, whereas the registry is stored on the less-volatile disk.</w:t>
      </w:r>
    </w:p>
    <w:p w14:paraId="0173822F" w14:textId="77777777" w:rsidR="004A17DA" w:rsidRDefault="004A17DA" w:rsidP="004A17DA">
      <w:pPr>
        <w:spacing w:after="240" w:line="360" w:lineRule="auto"/>
        <w:jc w:val="both"/>
        <w:rPr>
          <w:color w:val="000000"/>
        </w:rPr>
      </w:pPr>
      <w:r>
        <w:rPr>
          <w:color w:val="000000"/>
        </w:rPr>
        <w:t>3. Hashing and Legal Admissibility</w:t>
      </w:r>
    </w:p>
    <w:p w14:paraId="4755F062" w14:textId="77777777" w:rsidR="004A17DA" w:rsidRDefault="004A17DA" w:rsidP="004A17DA">
      <w:pPr>
        <w:spacing w:after="240" w:line="360" w:lineRule="auto"/>
        <w:jc w:val="both"/>
        <w:rPr>
          <w:color w:val="000000"/>
        </w:rPr>
      </w:pPr>
      <w:r>
        <w:rPr>
          <w:color w:val="000000"/>
        </w:rPr>
        <w:t>If two files have the </w:t>
      </w:r>
      <w:r>
        <w:rPr>
          <w:b/>
          <w:bCs/>
          <w:color w:val="000000"/>
        </w:rPr>
        <w:t>same MD5 hash</w:t>
      </w:r>
      <w:r>
        <w:rPr>
          <w:color w:val="000000"/>
        </w:rPr>
        <w:t> but different file names and locations, does this prove they are the same file, and how would you use this to tie a suspect to a specific piece of contraband?</w:t>
      </w:r>
    </w:p>
    <w:p w14:paraId="46F3B8FE" w14:textId="77777777" w:rsidR="004A17DA" w:rsidRDefault="004A17DA" w:rsidP="004A17DA">
      <w:pPr>
        <w:numPr>
          <w:ilvl w:val="0"/>
          <w:numId w:val="20"/>
        </w:numPr>
        <w:spacing w:after="240" w:line="360" w:lineRule="auto"/>
        <w:jc w:val="both"/>
        <w:rPr>
          <w:color w:val="000000"/>
        </w:rPr>
      </w:pPr>
      <w:r>
        <w:rPr>
          <w:b/>
          <w:bCs/>
          <w:color w:val="000000"/>
        </w:rPr>
        <w:t>Deep Understanding:</w:t>
      </w:r>
      <w:r>
        <w:rPr>
          <w:color w:val="000000"/>
        </w:rPr>
        <w:t> Explains that hashing identifies the </w:t>
      </w:r>
      <w:r>
        <w:rPr>
          <w:b/>
          <w:bCs/>
          <w:color w:val="000000"/>
        </w:rPr>
        <w:t>content</w:t>
      </w:r>
      <w:r>
        <w:rPr>
          <w:color w:val="000000"/>
        </w:rPr>
        <w:t>, not the metadata; identical hashes prove the data is the same regardless of the name, which helps establish </w:t>
      </w:r>
      <w:r>
        <w:rPr>
          <w:b/>
          <w:bCs/>
          <w:color w:val="000000"/>
        </w:rPr>
        <w:t>individual characteristics</w:t>
      </w:r>
      <w:r>
        <w:rPr>
          <w:color w:val="000000"/>
        </w:rPr>
        <w:t> and ownership during source evaluation.</w:t>
      </w:r>
    </w:p>
    <w:p w14:paraId="0F0CC1F7" w14:textId="77777777" w:rsidR="004A17DA" w:rsidRDefault="004A17DA" w:rsidP="004A17DA">
      <w:pPr>
        <w:spacing w:after="240" w:line="360" w:lineRule="auto"/>
        <w:jc w:val="both"/>
        <w:rPr>
          <w:color w:val="000000"/>
        </w:rPr>
      </w:pPr>
      <w:r>
        <w:rPr>
          <w:color w:val="000000"/>
        </w:rPr>
        <w:t>4. Integrity vs. Authenticity</w:t>
      </w:r>
    </w:p>
    <w:p w14:paraId="7779E476" w14:textId="77777777" w:rsidR="004A17DA" w:rsidRDefault="004A17DA" w:rsidP="004A17DA">
      <w:pPr>
        <w:spacing w:after="240" w:line="360" w:lineRule="auto"/>
        <w:jc w:val="both"/>
        <w:rPr>
          <w:color w:val="000000"/>
        </w:rPr>
      </w:pPr>
      <w:r>
        <w:rPr>
          <w:color w:val="000000"/>
        </w:rPr>
        <w:lastRenderedPageBreak/>
        <w:t>If a forensic image's </w:t>
      </w:r>
      <w:r>
        <w:rPr>
          <w:b/>
          <w:bCs/>
          <w:color w:val="000000"/>
        </w:rPr>
        <w:t>hash value matches</w:t>
      </w:r>
      <w:r>
        <w:rPr>
          <w:color w:val="000000"/>
        </w:rPr>
        <w:t> the original drive exactly, but the </w:t>
      </w:r>
      <w:r>
        <w:rPr>
          <w:b/>
          <w:bCs/>
          <w:color w:val="000000"/>
        </w:rPr>
        <w:t>Chain of Custody</w:t>
      </w:r>
      <w:r>
        <w:rPr>
          <w:color w:val="000000"/>
        </w:rPr>
        <w:t> log is missing for a 48-hour window, can the evidence still be considered authentic in court?</w:t>
      </w:r>
    </w:p>
    <w:p w14:paraId="1A3E8ADD" w14:textId="77777777" w:rsidR="004A17DA" w:rsidRDefault="004A17DA" w:rsidP="004A17DA">
      <w:pPr>
        <w:numPr>
          <w:ilvl w:val="0"/>
          <w:numId w:val="21"/>
        </w:numPr>
        <w:spacing w:after="240" w:line="360" w:lineRule="auto"/>
        <w:jc w:val="both"/>
        <w:rPr>
          <w:color w:val="000000"/>
        </w:rPr>
      </w:pPr>
      <w:r>
        <w:rPr>
          <w:b/>
          <w:bCs/>
          <w:color w:val="000000"/>
        </w:rPr>
        <w:t>Deep Understanding:</w:t>
      </w:r>
      <w:r>
        <w:rPr>
          <w:color w:val="000000"/>
        </w:rPr>
        <w:t> Differentiates between </w:t>
      </w:r>
      <w:r>
        <w:rPr>
          <w:b/>
          <w:bCs/>
          <w:color w:val="000000"/>
        </w:rPr>
        <w:t>integrity</w:t>
      </w:r>
      <w:r>
        <w:rPr>
          <w:color w:val="000000"/>
        </w:rPr>
        <w:t> (the data hasn't changed, proven by the hash) and </w:t>
      </w:r>
      <w:r>
        <w:rPr>
          <w:b/>
          <w:bCs/>
          <w:color w:val="000000"/>
        </w:rPr>
        <w:t>authenticity</w:t>
      </w:r>
      <w:r>
        <w:rPr>
          <w:color w:val="000000"/>
        </w:rPr>
        <w:t> (proving who had access and that it wasn't tampered with, proven by the chain of custody).</w:t>
      </w:r>
    </w:p>
    <w:p w14:paraId="6C620DD5" w14:textId="77777777" w:rsidR="004A17DA" w:rsidRDefault="004A17DA" w:rsidP="004A17DA">
      <w:pPr>
        <w:spacing w:after="240" w:line="360" w:lineRule="auto"/>
        <w:jc w:val="both"/>
        <w:rPr>
          <w:color w:val="000000"/>
        </w:rPr>
      </w:pPr>
      <w:r>
        <w:rPr>
          <w:color w:val="000000"/>
        </w:rPr>
        <w:t>5. AAA Failure Analysis</w:t>
      </w:r>
    </w:p>
    <w:p w14:paraId="08B9A483" w14:textId="77777777" w:rsidR="004A17DA" w:rsidRDefault="004A17DA" w:rsidP="004A17DA">
      <w:pPr>
        <w:spacing w:after="240" w:line="360" w:lineRule="auto"/>
        <w:jc w:val="both"/>
        <w:rPr>
          <w:color w:val="000000"/>
        </w:rPr>
      </w:pPr>
      <w:r>
        <w:rPr>
          <w:color w:val="000000"/>
        </w:rPr>
        <w:t>During a breach, an attacker used a legitimate employee's credentials to delete sensitive logs. Which part of the </w:t>
      </w:r>
      <w:r>
        <w:rPr>
          <w:b/>
          <w:bCs/>
          <w:color w:val="000000"/>
        </w:rPr>
        <w:t>AAA framework</w:t>
      </w:r>
      <w:r>
        <w:rPr>
          <w:color w:val="000000"/>
        </w:rPr>
        <w:t> failed—Authentication, Authorization, or Accounting—and how would a forensic analyst prove which one?</w:t>
      </w:r>
    </w:p>
    <w:p w14:paraId="54E8DA14" w14:textId="77777777" w:rsidR="004A17DA" w:rsidRDefault="004A17DA" w:rsidP="004A17DA">
      <w:pPr>
        <w:numPr>
          <w:ilvl w:val="0"/>
          <w:numId w:val="22"/>
        </w:numPr>
        <w:spacing w:after="240" w:line="360" w:lineRule="auto"/>
        <w:jc w:val="both"/>
        <w:rPr>
          <w:color w:val="000000"/>
        </w:rPr>
      </w:pPr>
      <w:r>
        <w:rPr>
          <w:b/>
          <w:bCs/>
          <w:color w:val="000000"/>
        </w:rPr>
        <w:t>Deep Understanding:</w:t>
      </w:r>
      <w:r>
        <w:rPr>
          <w:color w:val="000000"/>
        </w:rPr>
        <w:t> Analyzes whether the failure was in </w:t>
      </w:r>
      <w:r>
        <w:rPr>
          <w:b/>
          <w:bCs/>
          <w:color w:val="000000"/>
        </w:rPr>
        <w:t>authentication</w:t>
      </w:r>
      <w:r>
        <w:rPr>
          <w:color w:val="000000"/>
        </w:rPr>
        <w:t> (the attacker was wrongly identified as the user) or </w:t>
      </w:r>
      <w:r>
        <w:rPr>
          <w:b/>
          <w:bCs/>
          <w:color w:val="000000"/>
        </w:rPr>
        <w:t>authorization</w:t>
      </w:r>
      <w:r>
        <w:rPr>
          <w:color w:val="000000"/>
        </w:rPr>
        <w:t> (the user had too many privileges/permissions they didn't need).</w:t>
      </w:r>
    </w:p>
    <w:p w14:paraId="04031CB7" w14:textId="77777777" w:rsidR="004A17DA" w:rsidRDefault="004A17DA" w:rsidP="004A17DA">
      <w:pPr>
        <w:spacing w:after="240" w:line="360" w:lineRule="auto"/>
        <w:jc w:val="both"/>
        <w:rPr>
          <w:color w:val="000000"/>
        </w:rPr>
      </w:pPr>
      <w:r>
        <w:rPr>
          <w:color w:val="000000"/>
        </w:rPr>
        <w:t>6. The "Invisible" Malware Artifact</w:t>
      </w:r>
    </w:p>
    <w:p w14:paraId="06715E18" w14:textId="77777777" w:rsidR="004A17DA" w:rsidRDefault="004A17DA" w:rsidP="004A17DA">
      <w:pPr>
        <w:spacing w:after="240" w:line="360" w:lineRule="auto"/>
        <w:jc w:val="both"/>
        <w:rPr>
          <w:color w:val="000000"/>
        </w:rPr>
      </w:pPr>
      <w:r>
        <w:rPr>
          <w:color w:val="000000"/>
        </w:rPr>
        <w:t>Why can certain modern malware be detected using the </w:t>
      </w:r>
      <w:r>
        <w:rPr>
          <w:b/>
          <w:bCs/>
          <w:color w:val="000000"/>
        </w:rPr>
        <w:t>Volatility Framework</w:t>
      </w:r>
      <w:r>
        <w:rPr>
          <w:color w:val="000000"/>
        </w:rPr>
        <w:t> in a memory dump, even if a full </w:t>
      </w:r>
      <w:r>
        <w:rPr>
          <w:b/>
          <w:bCs/>
          <w:color w:val="000000"/>
        </w:rPr>
        <w:t>bit-stream image</w:t>
      </w:r>
      <w:r>
        <w:rPr>
          <w:color w:val="000000"/>
        </w:rPr>
        <w:t> of the hard drive shows no suspicious files?</w:t>
      </w:r>
    </w:p>
    <w:p w14:paraId="46336861" w14:textId="77777777" w:rsidR="004A17DA" w:rsidRDefault="004A17DA" w:rsidP="004A17DA">
      <w:pPr>
        <w:numPr>
          <w:ilvl w:val="0"/>
          <w:numId w:val="23"/>
        </w:numPr>
        <w:spacing w:after="240" w:line="360" w:lineRule="auto"/>
        <w:jc w:val="both"/>
        <w:rPr>
          <w:color w:val="000000"/>
        </w:rPr>
      </w:pPr>
      <w:r>
        <w:rPr>
          <w:b/>
          <w:bCs/>
          <w:color w:val="000000"/>
        </w:rPr>
        <w:t>Deep Understanding:</w:t>
      </w:r>
      <w:r>
        <w:rPr>
          <w:color w:val="000000"/>
        </w:rPr>
        <w:t> Grasps the concept of </w:t>
      </w:r>
      <w:r>
        <w:rPr>
          <w:b/>
          <w:bCs/>
          <w:color w:val="000000"/>
        </w:rPr>
        <w:t>"fileless" malware</w:t>
      </w:r>
      <w:r>
        <w:rPr>
          <w:color w:val="000000"/>
        </w:rPr>
        <w:t> or rootkits that reside only in </w:t>
      </w:r>
      <w:r>
        <w:rPr>
          <w:b/>
          <w:bCs/>
          <w:color w:val="000000"/>
        </w:rPr>
        <w:t>RAM</w:t>
      </w:r>
      <w:r>
        <w:rPr>
          <w:color w:val="000000"/>
        </w:rPr>
        <w:t> as active processes and never touch the disk, making them invisible to traditional disk-based forensic tools like Autopsy.</w:t>
      </w:r>
    </w:p>
    <w:p w14:paraId="3D382AC7" w14:textId="77777777" w:rsidR="004A17DA" w:rsidRDefault="004A17DA" w:rsidP="004A17DA">
      <w:pPr>
        <w:spacing w:after="240" w:line="360" w:lineRule="auto"/>
        <w:jc w:val="both"/>
        <w:rPr>
          <w:color w:val="000000"/>
        </w:rPr>
      </w:pPr>
      <w:r>
        <w:rPr>
          <w:color w:val="000000"/>
        </w:rPr>
        <w:t>7. Strategic Seizure: Overt vs. Covert</w:t>
      </w:r>
    </w:p>
    <w:p w14:paraId="2ECDF075" w14:textId="77777777" w:rsidR="004A17DA" w:rsidRDefault="004A17DA" w:rsidP="004A17DA">
      <w:pPr>
        <w:spacing w:after="240" w:line="360" w:lineRule="auto"/>
        <w:jc w:val="both"/>
        <w:rPr>
          <w:color w:val="000000"/>
        </w:rPr>
      </w:pPr>
      <w:r>
        <w:rPr>
          <w:color w:val="000000"/>
        </w:rPr>
        <w:t>In what specific scenario would a forensic investigator choose a </w:t>
      </w:r>
      <w:r>
        <w:rPr>
          <w:b/>
          <w:bCs/>
          <w:color w:val="000000"/>
        </w:rPr>
        <w:t>covert (secret)</w:t>
      </w:r>
      <w:r>
        <w:rPr>
          <w:color w:val="000000"/>
        </w:rPr>
        <w:t> search and seizure over an </w:t>
      </w:r>
      <w:r>
        <w:rPr>
          <w:b/>
          <w:bCs/>
          <w:color w:val="000000"/>
        </w:rPr>
        <w:t>overt (obvious)</w:t>
      </w:r>
      <w:r>
        <w:rPr>
          <w:color w:val="000000"/>
        </w:rPr>
        <w:t> one, and what is the risk of involve a "friendly" System Administrator in that process?</w:t>
      </w:r>
    </w:p>
    <w:p w14:paraId="2D8E7C04" w14:textId="77777777" w:rsidR="004A17DA" w:rsidRDefault="004A17DA" w:rsidP="004A17DA">
      <w:pPr>
        <w:numPr>
          <w:ilvl w:val="0"/>
          <w:numId w:val="24"/>
        </w:numPr>
        <w:spacing w:after="240" w:line="360" w:lineRule="auto"/>
        <w:jc w:val="both"/>
        <w:rPr>
          <w:color w:val="000000"/>
        </w:rPr>
      </w:pPr>
      <w:r>
        <w:rPr>
          <w:b/>
          <w:bCs/>
          <w:color w:val="000000"/>
        </w:rPr>
        <w:t>Deep Understanding:</w:t>
      </w:r>
      <w:r>
        <w:rPr>
          <w:color w:val="000000"/>
        </w:rPr>
        <w:t> Balances legal requirements for </w:t>
      </w:r>
      <w:r>
        <w:rPr>
          <w:b/>
          <w:bCs/>
          <w:color w:val="000000"/>
        </w:rPr>
        <w:t>search warrants</w:t>
      </w:r>
      <w:r>
        <w:rPr>
          <w:color w:val="000000"/>
        </w:rPr>
        <w:t> with the investigative need to prevent an internal suspect from remotely wiping a system or destroying evidence once they realize they are under scrutiny.</w:t>
      </w:r>
    </w:p>
    <w:p w14:paraId="4E38722E" w14:textId="77777777" w:rsidR="004A17DA" w:rsidRDefault="004A17DA" w:rsidP="004A17DA">
      <w:pPr>
        <w:spacing w:after="240" w:line="360" w:lineRule="auto"/>
        <w:jc w:val="both"/>
        <w:rPr>
          <w:color w:val="000000"/>
        </w:rPr>
      </w:pPr>
      <w:r>
        <w:rPr>
          <w:color w:val="000000"/>
        </w:rPr>
        <w:t>8. Network Forensics: Behavior vs. Signatures</w:t>
      </w:r>
    </w:p>
    <w:p w14:paraId="6681288C" w14:textId="77777777" w:rsidR="004A17DA" w:rsidRDefault="004A17DA" w:rsidP="004A17DA">
      <w:pPr>
        <w:spacing w:after="240" w:line="360" w:lineRule="auto"/>
        <w:jc w:val="both"/>
        <w:rPr>
          <w:color w:val="000000"/>
        </w:rPr>
      </w:pPr>
      <w:r>
        <w:rPr>
          <w:color w:val="000000"/>
        </w:rPr>
        <w:lastRenderedPageBreak/>
        <w:t>A </w:t>
      </w:r>
      <w:r>
        <w:rPr>
          <w:b/>
          <w:bCs/>
          <w:color w:val="000000"/>
        </w:rPr>
        <w:t>Network Intrusion Detection System (NIDS)</w:t>
      </w:r>
      <w:r>
        <w:rPr>
          <w:color w:val="000000"/>
        </w:rPr>
        <w:t> flags an alert for a "SYN flood." How does an analyst differentiate between a legitimate high-traffic event and a malicious </w:t>
      </w:r>
      <w:r>
        <w:rPr>
          <w:b/>
          <w:bCs/>
          <w:color w:val="000000"/>
        </w:rPr>
        <w:t>denial-of-service (DoS)</w:t>
      </w:r>
      <w:r>
        <w:rPr>
          <w:color w:val="000000"/>
        </w:rPr>
        <w:t> attack using protocol analysis?</w:t>
      </w:r>
    </w:p>
    <w:p w14:paraId="03FD7AE6" w14:textId="77777777" w:rsidR="004A17DA" w:rsidRDefault="004A17DA" w:rsidP="004A17DA">
      <w:pPr>
        <w:numPr>
          <w:ilvl w:val="0"/>
          <w:numId w:val="25"/>
        </w:numPr>
        <w:spacing w:after="240" w:line="360" w:lineRule="auto"/>
        <w:jc w:val="both"/>
        <w:rPr>
          <w:color w:val="000000"/>
        </w:rPr>
      </w:pPr>
      <w:r>
        <w:rPr>
          <w:b/>
          <w:bCs/>
          <w:color w:val="000000"/>
        </w:rPr>
        <w:t>Deep Understanding:</w:t>
      </w:r>
      <w:r>
        <w:rPr>
          <w:color w:val="000000"/>
        </w:rPr>
        <w:t> Moves beyond recognizing the alert to analyzing the </w:t>
      </w:r>
      <w:r>
        <w:rPr>
          <w:b/>
          <w:bCs/>
          <w:color w:val="000000"/>
        </w:rPr>
        <w:t>TCP header</w:t>
      </w:r>
      <w:r>
        <w:rPr>
          <w:color w:val="000000"/>
        </w:rPr>
        <w:t> and packet frequency to identify the signature of an incomplete three-way handshake used to exhaust system resources.</w:t>
      </w:r>
    </w:p>
    <w:p w14:paraId="2E607C95" w14:textId="77777777" w:rsidR="004A17DA" w:rsidRDefault="004A17DA" w:rsidP="004A17DA">
      <w:pPr>
        <w:spacing w:after="240" w:line="360" w:lineRule="auto"/>
        <w:jc w:val="both"/>
        <w:rPr>
          <w:color w:val="000000"/>
        </w:rPr>
      </w:pPr>
      <w:r>
        <w:rPr>
          <w:color w:val="000000"/>
        </w:rPr>
        <w:t>9. Knowledgeable Possession in Registry</w:t>
      </w:r>
    </w:p>
    <w:p w14:paraId="46982E5B" w14:textId="77777777" w:rsidR="004A17DA" w:rsidRDefault="004A17DA" w:rsidP="004A17DA">
      <w:pPr>
        <w:spacing w:after="240" w:line="360" w:lineRule="auto"/>
        <w:jc w:val="both"/>
        <w:rPr>
          <w:color w:val="000000"/>
        </w:rPr>
      </w:pPr>
      <w:r>
        <w:rPr>
          <w:color w:val="000000"/>
        </w:rPr>
        <w:t>An investigator finds a hacking tool on a suspect’s computer, but the suspect claims, "I didn't know that was there." How can analyzing the </w:t>
      </w:r>
      <w:proofErr w:type="spellStart"/>
      <w:r>
        <w:rPr>
          <w:b/>
          <w:bCs/>
          <w:color w:val="000000"/>
        </w:rPr>
        <w:t>UserAssist</w:t>
      </w:r>
      <w:proofErr w:type="spellEnd"/>
      <w:r>
        <w:rPr>
          <w:color w:val="000000"/>
        </w:rPr>
        <w:t> or </w:t>
      </w:r>
      <w:r>
        <w:rPr>
          <w:b/>
          <w:bCs/>
          <w:color w:val="000000"/>
        </w:rPr>
        <w:t>Prefetch</w:t>
      </w:r>
      <w:r>
        <w:rPr>
          <w:color w:val="000000"/>
        </w:rPr>
        <w:t> registry keys prove "knowledgeable possession"?</w:t>
      </w:r>
    </w:p>
    <w:p w14:paraId="573724CF" w14:textId="77777777" w:rsidR="004A17DA" w:rsidRDefault="004A17DA" w:rsidP="004A17DA">
      <w:pPr>
        <w:numPr>
          <w:ilvl w:val="0"/>
          <w:numId w:val="26"/>
        </w:numPr>
        <w:spacing w:after="240" w:line="360" w:lineRule="auto"/>
        <w:jc w:val="both"/>
        <w:rPr>
          <w:color w:val="000000"/>
        </w:rPr>
      </w:pPr>
      <w:r>
        <w:rPr>
          <w:b/>
          <w:bCs/>
          <w:color w:val="000000"/>
        </w:rPr>
        <w:t>Deep Understanding:</w:t>
      </w:r>
      <w:r>
        <w:rPr>
          <w:color w:val="000000"/>
        </w:rPr>
        <w:t> Uses </w:t>
      </w:r>
      <w:r>
        <w:rPr>
          <w:b/>
          <w:bCs/>
          <w:color w:val="000000"/>
        </w:rPr>
        <w:t>temporal analysis</w:t>
      </w:r>
      <w:r>
        <w:rPr>
          <w:color w:val="000000"/>
        </w:rPr>
        <w:t xml:space="preserve"> to show that the program wasn't just </w:t>
      </w:r>
      <w:proofErr w:type="gramStart"/>
      <w:r>
        <w:rPr>
          <w:color w:val="000000"/>
        </w:rPr>
        <w:t>present, but</w:t>
      </w:r>
      <w:proofErr w:type="gramEnd"/>
      <w:r>
        <w:rPr>
          <w:color w:val="000000"/>
        </w:rPr>
        <w:t xml:space="preserve"> was actively </w:t>
      </w:r>
      <w:r>
        <w:rPr>
          <w:b/>
          <w:bCs/>
          <w:color w:val="000000"/>
        </w:rPr>
        <w:t>executed</w:t>
      </w:r>
      <w:r>
        <w:rPr>
          <w:color w:val="000000"/>
        </w:rPr>
        <w:t> at a specific time and date, directly linking the user’s actions to the software.</w:t>
      </w:r>
    </w:p>
    <w:p w14:paraId="798C0B89" w14:textId="77777777" w:rsidR="004A17DA" w:rsidRDefault="004A17DA" w:rsidP="004A17DA">
      <w:pPr>
        <w:spacing w:after="240" w:line="360" w:lineRule="auto"/>
        <w:jc w:val="both"/>
        <w:rPr>
          <w:color w:val="000000"/>
        </w:rPr>
      </w:pPr>
      <w:r>
        <w:rPr>
          <w:color w:val="000000"/>
        </w:rPr>
        <w:t>10. Cryptographic Trade-offs</w:t>
      </w:r>
    </w:p>
    <w:p w14:paraId="0CA38E05" w14:textId="77777777" w:rsidR="004A17DA" w:rsidRDefault="004A17DA" w:rsidP="004A17DA">
      <w:pPr>
        <w:spacing w:after="240" w:line="360" w:lineRule="auto"/>
        <w:jc w:val="both"/>
        <w:rPr>
          <w:color w:val="000000"/>
        </w:rPr>
      </w:pPr>
      <w:r>
        <w:rPr>
          <w:color w:val="000000"/>
        </w:rPr>
        <w:t>Why does the </w:t>
      </w:r>
      <w:r>
        <w:rPr>
          <w:b/>
          <w:bCs/>
          <w:color w:val="000000"/>
        </w:rPr>
        <w:t>Digital Signature</w:t>
      </w:r>
      <w:r>
        <w:rPr>
          <w:color w:val="000000"/>
        </w:rPr>
        <w:t> process use </w:t>
      </w:r>
      <w:r>
        <w:rPr>
          <w:b/>
          <w:bCs/>
          <w:color w:val="000000"/>
        </w:rPr>
        <w:t>asymmetric encryption</w:t>
      </w:r>
      <w:r>
        <w:rPr>
          <w:color w:val="000000"/>
        </w:rPr>
        <w:t> to sign a message hash rather than simply encrypting the entire large document with the sender’s private key?</w:t>
      </w:r>
    </w:p>
    <w:p w14:paraId="798C040B" w14:textId="77777777" w:rsidR="004A17DA" w:rsidRDefault="004A17DA" w:rsidP="004A17DA">
      <w:pPr>
        <w:numPr>
          <w:ilvl w:val="0"/>
          <w:numId w:val="27"/>
        </w:numPr>
        <w:spacing w:after="240" w:line="360" w:lineRule="auto"/>
        <w:jc w:val="both"/>
        <w:rPr>
          <w:color w:val="000000"/>
        </w:rPr>
      </w:pPr>
      <w:r>
        <w:rPr>
          <w:b/>
          <w:bCs/>
          <w:color w:val="000000"/>
        </w:rPr>
        <w:t>Deep Understanding:</w:t>
      </w:r>
      <w:r>
        <w:rPr>
          <w:color w:val="000000"/>
        </w:rPr>
        <w:t> Understands that </w:t>
      </w:r>
      <w:r>
        <w:rPr>
          <w:b/>
          <w:bCs/>
          <w:color w:val="000000"/>
        </w:rPr>
        <w:t>asymmetric encryption</w:t>
      </w:r>
      <w:r>
        <w:rPr>
          <w:color w:val="000000"/>
        </w:rPr>
        <w:t> is computationally expensive and slow; therefore, it is used only for the small </w:t>
      </w:r>
      <w:r>
        <w:rPr>
          <w:b/>
          <w:bCs/>
          <w:color w:val="000000"/>
        </w:rPr>
        <w:t>hash digest</w:t>
      </w:r>
      <w:r>
        <w:rPr>
          <w:color w:val="000000"/>
        </w:rPr>
        <w:t> to ensure </w:t>
      </w:r>
      <w:r>
        <w:rPr>
          <w:b/>
          <w:bCs/>
          <w:color w:val="000000"/>
        </w:rPr>
        <w:t>non-repudiation</w:t>
      </w:r>
      <w:r>
        <w:rPr>
          <w:color w:val="000000"/>
        </w:rPr>
        <w:t> and authenticity, while bulk data is typically handled by faster symmetric methods.</w:t>
      </w:r>
    </w:p>
    <w:p w14:paraId="7CFD7E17" w14:textId="4352EF91" w:rsidR="00CB6D3B" w:rsidRDefault="00CB6D3B" w:rsidP="004A17DA">
      <w:pPr>
        <w:spacing w:after="240" w:line="360" w:lineRule="auto"/>
        <w:jc w:val="both"/>
        <w:rPr>
          <w:color w:val="000000"/>
        </w:rPr>
      </w:pPr>
    </w:p>
    <w:sectPr w:rsidR="00CB6D3B" w:rsidSect="000D398F">
      <w:headerReference w:type="default" r:id="rId8"/>
      <w:footerReference w:type="default" r:id="rId9"/>
      <w:pgSz w:w="11909" w:h="16834" w:code="9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C5F32" w14:textId="77777777" w:rsidR="00BF256B" w:rsidRDefault="00BF256B">
      <w:r>
        <w:separator/>
      </w:r>
    </w:p>
  </w:endnote>
  <w:endnote w:type="continuationSeparator" w:id="0">
    <w:p w14:paraId="42344F2B" w14:textId="77777777" w:rsidR="00BF256B" w:rsidRDefault="00BF2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E4755" w14:textId="77777777" w:rsidR="000E0134" w:rsidRPr="00F00716" w:rsidRDefault="00F00716" w:rsidP="00F00716">
    <w:pPr>
      <w:pStyle w:val="Footer"/>
      <w:pBdr>
        <w:top w:val="single" w:sz="4" w:space="1" w:color="auto"/>
      </w:pBdr>
      <w:tabs>
        <w:tab w:val="right" w:pos="9000"/>
      </w:tabs>
      <w:rPr>
        <w:rFonts w:ascii="Arial" w:hAnsi="Arial" w:cs="Arial"/>
        <w:sz w:val="18"/>
      </w:rPr>
    </w:pPr>
    <w:r w:rsidRPr="009E53A1">
      <w:rPr>
        <w:rFonts w:ascii="Arial" w:hAnsi="Arial" w:cs="Arial"/>
        <w:sz w:val="18"/>
      </w:rPr>
      <w:t>Diploma</w:t>
    </w:r>
    <w:r w:rsidRPr="009E53A1">
      <w:rPr>
        <w:rFonts w:ascii="Arial" w:hAnsi="Arial" w:cs="Arial"/>
        <w:sz w:val="18"/>
      </w:rPr>
      <w:tab/>
      <w:t>Asia Pacific University of Technology &amp; Innovation</w:t>
    </w:r>
    <w:r w:rsidRPr="009E53A1">
      <w:rPr>
        <w:rFonts w:ascii="Arial" w:hAnsi="Arial" w:cs="Arial"/>
        <w:sz w:val="18"/>
      </w:rPr>
      <w:tab/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7D355" w14:textId="77777777" w:rsidR="00BF256B" w:rsidRDefault="00BF256B">
      <w:r>
        <w:separator/>
      </w:r>
    </w:p>
  </w:footnote>
  <w:footnote w:type="continuationSeparator" w:id="0">
    <w:p w14:paraId="5A1843F2" w14:textId="77777777" w:rsidR="00BF256B" w:rsidRDefault="00BF25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581AD" w14:textId="77777777" w:rsidR="000E0134" w:rsidRPr="00F00716" w:rsidRDefault="00F00716" w:rsidP="00F00716">
    <w:pPr>
      <w:pStyle w:val="Header"/>
      <w:pBdr>
        <w:bottom w:val="single" w:sz="4" w:space="1" w:color="auto"/>
      </w:pBdr>
      <w:tabs>
        <w:tab w:val="right" w:pos="9000"/>
      </w:tabs>
      <w:rPr>
        <w:rFonts w:ascii="Arial" w:hAnsi="Arial" w:cs="Arial"/>
        <w:sz w:val="18"/>
      </w:rPr>
    </w:pPr>
    <w:r w:rsidRPr="009E53A1">
      <w:rPr>
        <w:rFonts w:ascii="Arial" w:hAnsi="Arial" w:cs="Arial"/>
        <w:sz w:val="18"/>
      </w:rPr>
      <w:t>A</w:t>
    </w:r>
    <w:r>
      <w:rPr>
        <w:rFonts w:ascii="Arial" w:hAnsi="Arial" w:cs="Arial"/>
        <w:sz w:val="18"/>
      </w:rPr>
      <w:t>ICT006</w:t>
    </w:r>
    <w:r w:rsidRPr="009E53A1">
      <w:rPr>
        <w:rFonts w:ascii="Arial" w:hAnsi="Arial" w:cs="Arial"/>
        <w:sz w:val="18"/>
      </w:rPr>
      <w:t>-4-2-</w:t>
    </w:r>
    <w:r>
      <w:rPr>
        <w:rFonts w:ascii="Arial" w:hAnsi="Arial" w:cs="Arial"/>
        <w:sz w:val="18"/>
      </w:rPr>
      <w:t>DSF</w:t>
    </w:r>
    <w:r w:rsidRPr="009E53A1">
      <w:rPr>
        <w:rFonts w:ascii="Arial" w:hAnsi="Arial" w:cs="Arial"/>
        <w:sz w:val="18"/>
      </w:rPr>
      <w:t xml:space="preserve"> </w:t>
    </w:r>
    <w:r>
      <w:rPr>
        <w:rFonts w:ascii="Arial" w:hAnsi="Arial" w:cs="Arial"/>
        <w:sz w:val="18"/>
      </w:rPr>
      <w:t>Digital Security and Forensics</w:t>
    </w:r>
    <w:r w:rsidRPr="009E53A1">
      <w:rPr>
        <w:rFonts w:ascii="Arial" w:hAnsi="Arial" w:cs="Arial"/>
        <w:sz w:val="18"/>
      </w:rPr>
      <w:tab/>
    </w:r>
    <w:r w:rsidRPr="009E53A1">
      <w:rPr>
        <w:rFonts w:ascii="Arial" w:hAnsi="Arial" w:cs="Arial"/>
        <w:sz w:val="18"/>
      </w:rPr>
      <w:tab/>
    </w:r>
    <w:r>
      <w:rPr>
        <w:rFonts w:ascii="Arial" w:hAnsi="Arial" w:cs="Arial"/>
        <w:sz w:val="18"/>
      </w:rPr>
      <w:t>Nessus Installation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01A4E"/>
    <w:multiLevelType w:val="hybridMultilevel"/>
    <w:tmpl w:val="12547F9A"/>
    <w:lvl w:ilvl="0" w:tplc="0400D732">
      <w:start w:val="118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BB2669"/>
    <w:multiLevelType w:val="hybridMultilevel"/>
    <w:tmpl w:val="97806EFC"/>
    <w:lvl w:ilvl="0" w:tplc="A8EC0E3C">
      <w:start w:val="3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17183470"/>
    <w:multiLevelType w:val="hybridMultilevel"/>
    <w:tmpl w:val="D4208F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D5179"/>
    <w:multiLevelType w:val="hybridMultilevel"/>
    <w:tmpl w:val="C6DC649C"/>
    <w:lvl w:ilvl="0" w:tplc="B9C66414">
      <w:start w:val="3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D87677"/>
    <w:multiLevelType w:val="hybridMultilevel"/>
    <w:tmpl w:val="3CD41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4943B4"/>
    <w:multiLevelType w:val="multilevel"/>
    <w:tmpl w:val="1B2A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C5731"/>
    <w:multiLevelType w:val="multilevel"/>
    <w:tmpl w:val="74C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65264"/>
    <w:multiLevelType w:val="multilevel"/>
    <w:tmpl w:val="20F8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05496"/>
    <w:multiLevelType w:val="hybridMultilevel"/>
    <w:tmpl w:val="C6649DA2"/>
    <w:lvl w:ilvl="0" w:tplc="62720C8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6035C4"/>
    <w:multiLevelType w:val="multilevel"/>
    <w:tmpl w:val="B700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27155"/>
    <w:multiLevelType w:val="hybridMultilevel"/>
    <w:tmpl w:val="020020E0"/>
    <w:lvl w:ilvl="0" w:tplc="D5D27E98">
      <w:start w:val="3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30461A96"/>
    <w:multiLevelType w:val="hybridMultilevel"/>
    <w:tmpl w:val="B378AEB8"/>
    <w:lvl w:ilvl="0" w:tplc="78C21B7C">
      <w:start w:val="3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32547CAC"/>
    <w:multiLevelType w:val="hybridMultilevel"/>
    <w:tmpl w:val="47643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156DC2"/>
    <w:multiLevelType w:val="hybridMultilevel"/>
    <w:tmpl w:val="1048F762"/>
    <w:lvl w:ilvl="0" w:tplc="9ED0268C">
      <w:start w:val="8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0065EBF"/>
    <w:multiLevelType w:val="hybridMultilevel"/>
    <w:tmpl w:val="41BC53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8536EB"/>
    <w:multiLevelType w:val="multilevel"/>
    <w:tmpl w:val="1FE6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F322F7"/>
    <w:multiLevelType w:val="hybridMultilevel"/>
    <w:tmpl w:val="86DE782C"/>
    <w:lvl w:ilvl="0" w:tplc="0E94A7D0">
      <w:start w:val="3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52A26382"/>
    <w:multiLevelType w:val="multilevel"/>
    <w:tmpl w:val="710C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8E589A"/>
    <w:multiLevelType w:val="multilevel"/>
    <w:tmpl w:val="CBDA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B6558"/>
    <w:multiLevelType w:val="hybridMultilevel"/>
    <w:tmpl w:val="ED8A8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BC7DD8"/>
    <w:multiLevelType w:val="multilevel"/>
    <w:tmpl w:val="3648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096147"/>
    <w:multiLevelType w:val="multilevel"/>
    <w:tmpl w:val="4162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0F26D7"/>
    <w:multiLevelType w:val="multilevel"/>
    <w:tmpl w:val="80A8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E6D0EA9"/>
    <w:multiLevelType w:val="multilevel"/>
    <w:tmpl w:val="29A2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D3398C"/>
    <w:multiLevelType w:val="hybridMultilevel"/>
    <w:tmpl w:val="A6BC1CCC"/>
    <w:lvl w:ilvl="0" w:tplc="DBBEAD26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0CB6BBA"/>
    <w:multiLevelType w:val="hybridMultilevel"/>
    <w:tmpl w:val="3788BADA"/>
    <w:lvl w:ilvl="0" w:tplc="E0C0D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AEA4A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4C75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F729F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20E9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52BC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CD276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8AC5B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6E86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182421"/>
    <w:multiLevelType w:val="multilevel"/>
    <w:tmpl w:val="871A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017192">
    <w:abstractNumId w:val="25"/>
  </w:num>
  <w:num w:numId="2" w16cid:durableId="126748194">
    <w:abstractNumId w:val="8"/>
  </w:num>
  <w:num w:numId="3" w16cid:durableId="81339454">
    <w:abstractNumId w:val="24"/>
  </w:num>
  <w:num w:numId="4" w16cid:durableId="178811828">
    <w:abstractNumId w:val="13"/>
  </w:num>
  <w:num w:numId="5" w16cid:durableId="289169499">
    <w:abstractNumId w:val="0"/>
  </w:num>
  <w:num w:numId="6" w16cid:durableId="1463376687">
    <w:abstractNumId w:val="1"/>
  </w:num>
  <w:num w:numId="7" w16cid:durableId="1870296284">
    <w:abstractNumId w:val="10"/>
  </w:num>
  <w:num w:numId="8" w16cid:durableId="1892955884">
    <w:abstractNumId w:val="16"/>
  </w:num>
  <w:num w:numId="9" w16cid:durableId="1282111612">
    <w:abstractNumId w:val="11"/>
  </w:num>
  <w:num w:numId="10" w16cid:durableId="2111971754">
    <w:abstractNumId w:val="22"/>
  </w:num>
  <w:num w:numId="11" w16cid:durableId="637347278">
    <w:abstractNumId w:val="15"/>
  </w:num>
  <w:num w:numId="12" w16cid:durableId="269048424">
    <w:abstractNumId w:val="4"/>
  </w:num>
  <w:num w:numId="13" w16cid:durableId="253125236">
    <w:abstractNumId w:val="19"/>
  </w:num>
  <w:num w:numId="14" w16cid:durableId="989793359">
    <w:abstractNumId w:val="14"/>
  </w:num>
  <w:num w:numId="15" w16cid:durableId="1666199896">
    <w:abstractNumId w:val="2"/>
  </w:num>
  <w:num w:numId="16" w16cid:durableId="775298089">
    <w:abstractNumId w:val="12"/>
  </w:num>
  <w:num w:numId="17" w16cid:durableId="92633032">
    <w:abstractNumId w:val="3"/>
  </w:num>
  <w:num w:numId="18" w16cid:durableId="1320503269">
    <w:abstractNumId w:val="21"/>
  </w:num>
  <w:num w:numId="19" w16cid:durableId="1537081454">
    <w:abstractNumId w:val="23"/>
  </w:num>
  <w:num w:numId="20" w16cid:durableId="65298460">
    <w:abstractNumId w:val="9"/>
  </w:num>
  <w:num w:numId="21" w16cid:durableId="858202257">
    <w:abstractNumId w:val="18"/>
  </w:num>
  <w:num w:numId="22" w16cid:durableId="444351309">
    <w:abstractNumId w:val="7"/>
  </w:num>
  <w:num w:numId="23" w16cid:durableId="1019819981">
    <w:abstractNumId w:val="6"/>
  </w:num>
  <w:num w:numId="24" w16cid:durableId="779957723">
    <w:abstractNumId w:val="26"/>
  </w:num>
  <w:num w:numId="25" w16cid:durableId="659385541">
    <w:abstractNumId w:val="17"/>
  </w:num>
  <w:num w:numId="26" w16cid:durableId="153496534">
    <w:abstractNumId w:val="5"/>
  </w:num>
  <w:num w:numId="27" w16cid:durableId="51611725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1623"/>
    <w:rsid w:val="00010F87"/>
    <w:rsid w:val="000550E2"/>
    <w:rsid w:val="000D398F"/>
    <w:rsid w:val="000E0134"/>
    <w:rsid w:val="000E1238"/>
    <w:rsid w:val="00136C08"/>
    <w:rsid w:val="00137E5C"/>
    <w:rsid w:val="001C3CA1"/>
    <w:rsid w:val="00240701"/>
    <w:rsid w:val="0024286D"/>
    <w:rsid w:val="002B3480"/>
    <w:rsid w:val="003E0B72"/>
    <w:rsid w:val="003E1623"/>
    <w:rsid w:val="00430101"/>
    <w:rsid w:val="004339FF"/>
    <w:rsid w:val="00445C46"/>
    <w:rsid w:val="004630AD"/>
    <w:rsid w:val="00497854"/>
    <w:rsid w:val="004A17DA"/>
    <w:rsid w:val="00524890"/>
    <w:rsid w:val="00543822"/>
    <w:rsid w:val="0060109F"/>
    <w:rsid w:val="00633587"/>
    <w:rsid w:val="00651300"/>
    <w:rsid w:val="00667A93"/>
    <w:rsid w:val="0068646E"/>
    <w:rsid w:val="006E6521"/>
    <w:rsid w:val="00791E6D"/>
    <w:rsid w:val="00797F9C"/>
    <w:rsid w:val="007A729C"/>
    <w:rsid w:val="007A7AD7"/>
    <w:rsid w:val="007B6078"/>
    <w:rsid w:val="007C5AA9"/>
    <w:rsid w:val="0080071D"/>
    <w:rsid w:val="00815557"/>
    <w:rsid w:val="0083689F"/>
    <w:rsid w:val="0085432A"/>
    <w:rsid w:val="008972A2"/>
    <w:rsid w:val="008D3B9C"/>
    <w:rsid w:val="008E2231"/>
    <w:rsid w:val="008E7F1F"/>
    <w:rsid w:val="00983454"/>
    <w:rsid w:val="00A977D0"/>
    <w:rsid w:val="00AC007C"/>
    <w:rsid w:val="00AE2EBA"/>
    <w:rsid w:val="00B162CE"/>
    <w:rsid w:val="00BA6A4C"/>
    <w:rsid w:val="00BC4486"/>
    <w:rsid w:val="00BF256B"/>
    <w:rsid w:val="00C22C46"/>
    <w:rsid w:val="00CB6D3B"/>
    <w:rsid w:val="00D30865"/>
    <w:rsid w:val="00E746A1"/>
    <w:rsid w:val="00E866F5"/>
    <w:rsid w:val="00E9280D"/>
    <w:rsid w:val="00F00716"/>
    <w:rsid w:val="00F169DC"/>
    <w:rsid w:val="00F4755F"/>
    <w:rsid w:val="00F47C3F"/>
    <w:rsid w:val="00F86B31"/>
    <w:rsid w:val="00FD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27FD52"/>
  <w15:chartTrackingRefBased/>
  <w15:docId w15:val="{94E281CD-1E18-47CB-8ACD-3722A903B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4">
    <w:name w:val="heading 4"/>
    <w:basedOn w:val="Normal"/>
    <w:qFormat/>
    <w:pPr>
      <w:spacing w:before="100" w:beforeAutospacing="1" w:after="100" w:afterAutospacing="1"/>
      <w:outlineLvl w:val="3"/>
    </w:pPr>
    <w:rPr>
      <w:rFonts w:ascii="Arial Unicode MS" w:eastAsia="Arial Unicode MS" w:hAnsi="Arial Unicode MS" w:cs="Arial Unicode MS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Strong">
    <w:name w:val="Strong"/>
    <w:qFormat/>
    <w:rPr>
      <w:b/>
      <w:bCs/>
    </w:rPr>
  </w:style>
  <w:style w:type="paragraph" w:customStyle="1" w:styleId="display2">
    <w:name w:val="display2"/>
    <w:basedOn w:val="Normal"/>
    <w:pPr>
      <w:spacing w:before="120" w:after="240" w:line="312" w:lineRule="atLeast"/>
      <w:ind w:left="1530" w:right="144"/>
    </w:pPr>
    <w:rPr>
      <w:rFonts w:ascii="Garamond" w:eastAsia="Arial Unicode MS" w:hAnsi="Garamond" w:cs="Arial Unicode MS"/>
      <w:i/>
      <w:iCs/>
      <w:sz w:val="30"/>
      <w:szCs w:val="30"/>
    </w:rPr>
  </w:style>
  <w:style w:type="paragraph" w:customStyle="1" w:styleId="example">
    <w:name w:val="example"/>
    <w:basedOn w:val="Normal"/>
    <w:pPr>
      <w:spacing w:before="288" w:after="60" w:line="336" w:lineRule="atLeast"/>
      <w:ind w:left="168" w:right="144"/>
    </w:pPr>
    <w:rPr>
      <w:rFonts w:ascii="Garamond" w:eastAsia="Arial Unicode MS" w:hAnsi="Garamond" w:cs="Arial Unicode MS"/>
      <w:sz w:val="30"/>
      <w:szCs w:val="30"/>
    </w:rPr>
  </w:style>
  <w:style w:type="character" w:customStyle="1" w:styleId="green1">
    <w:name w:val="green1"/>
    <w:rPr>
      <w:rFonts w:ascii="Garamond" w:hAnsi="Garamond" w:hint="default"/>
      <w:b/>
      <w:bCs/>
      <w:color w:val="008000"/>
      <w:sz w:val="30"/>
      <w:szCs w:val="30"/>
    </w:rPr>
  </w:style>
  <w:style w:type="character" w:customStyle="1" w:styleId="pi1">
    <w:name w:val="pi1"/>
    <w:rPr>
      <w:rFonts w:ascii="Garamond" w:hAnsi="Garamond" w:hint="default"/>
      <w:b w:val="0"/>
      <w:bCs w:val="0"/>
      <w:sz w:val="24"/>
      <w:szCs w:val="24"/>
    </w:rPr>
  </w:style>
  <w:style w:type="character" w:customStyle="1" w:styleId="hidegif1">
    <w:name w:val="hidegif1"/>
    <w:rPr>
      <w:shd w:val="clear" w:color="auto" w:fill="009900"/>
    </w:rPr>
  </w:style>
  <w:style w:type="character" w:customStyle="1" w:styleId="doc121">
    <w:name w:val="doc121"/>
    <w:rPr>
      <w:rFonts w:ascii="Garamond" w:hAnsi="Garamond" w:hint="default"/>
      <w:b w:val="0"/>
      <w:bCs w:val="0"/>
      <w:sz w:val="24"/>
      <w:szCs w:val="24"/>
    </w:rPr>
  </w:style>
  <w:style w:type="character" w:customStyle="1" w:styleId="showgif1">
    <w:name w:val="showgif1"/>
    <w:rPr>
      <w:rFonts w:ascii="Garamond" w:hAnsi="Garamond" w:hint="default"/>
      <w:b/>
      <w:bCs/>
      <w:sz w:val="30"/>
      <w:szCs w:val="30"/>
      <w:shd w:val="clear" w:color="auto" w:fill="auto"/>
    </w:rPr>
  </w:style>
  <w:style w:type="character" w:customStyle="1" w:styleId="doc12b1">
    <w:name w:val="doc12b1"/>
    <w:rPr>
      <w:rFonts w:ascii="Garamond" w:hAnsi="Garamond" w:hint="default"/>
      <w:b/>
      <w:bCs/>
      <w:sz w:val="24"/>
      <w:szCs w:val="24"/>
    </w:rPr>
  </w:style>
  <w:style w:type="character" w:customStyle="1" w:styleId="pigr1">
    <w:name w:val="pigr1"/>
    <w:rPr>
      <w:rFonts w:ascii="Garamond" w:hAnsi="Garamond" w:hint="default"/>
      <w:b/>
      <w:bCs/>
      <w:sz w:val="32"/>
      <w:szCs w:val="32"/>
    </w:rPr>
  </w:style>
  <w:style w:type="character" w:customStyle="1" w:styleId="pigr500">
    <w:name w:val="pigr500"/>
    <w:basedOn w:val="DefaultParagraphFont"/>
  </w:style>
  <w:style w:type="paragraph" w:customStyle="1" w:styleId="grn2boldl">
    <w:name w:val="grn2boldl"/>
    <w:basedOn w:val="Normal"/>
    <w:pPr>
      <w:spacing w:after="60" w:line="312" w:lineRule="atLeast"/>
      <w:ind w:right="144"/>
    </w:pPr>
    <w:rPr>
      <w:rFonts w:ascii="Garamond" w:eastAsia="Arial Unicode MS" w:hAnsi="Garamond" w:cs="Arial Unicode MS"/>
      <w:b/>
      <w:bCs/>
      <w:color w:val="009900"/>
      <w:sz w:val="30"/>
      <w:szCs w:val="30"/>
    </w:rPr>
  </w:style>
  <w:style w:type="paragraph" w:customStyle="1" w:styleId="lafter">
    <w:name w:val="lafter"/>
    <w:basedOn w:val="Normal"/>
    <w:pPr>
      <w:spacing w:before="144" w:after="60" w:line="312" w:lineRule="atLeast"/>
      <w:ind w:left="144" w:right="144"/>
    </w:pPr>
    <w:rPr>
      <w:rFonts w:ascii="Garamond" w:eastAsia="Arial Unicode MS" w:hAnsi="Garamond" w:cs="Arial Unicode MS"/>
      <w:sz w:val="30"/>
      <w:szCs w:val="30"/>
    </w:rPr>
  </w:style>
  <w:style w:type="paragraph" w:customStyle="1" w:styleId="left">
    <w:name w:val="left"/>
    <w:basedOn w:val="Normal"/>
    <w:pPr>
      <w:spacing w:before="60" w:after="60" w:line="312" w:lineRule="atLeast"/>
      <w:ind w:left="144" w:right="144"/>
    </w:pPr>
    <w:rPr>
      <w:rFonts w:ascii="Garamond" w:eastAsia="Arial Unicode MS" w:hAnsi="Garamond" w:cs="Arial Unicode MS"/>
      <w:sz w:val="30"/>
      <w:szCs w:val="30"/>
    </w:rPr>
  </w:style>
  <w:style w:type="character" w:customStyle="1" w:styleId="greekgr1">
    <w:name w:val="greekgr1"/>
    <w:rPr>
      <w:b/>
      <w:bCs/>
      <w:i/>
      <w:iCs/>
      <w:sz w:val="24"/>
      <w:szCs w:val="24"/>
    </w:rPr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paragraph" w:styleId="BodyTextIndent">
    <w:name w:val="Body Text Indent"/>
    <w:basedOn w:val="Normal"/>
    <w:pPr>
      <w:ind w:left="720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HTMLCode">
    <w:name w:val="HTML Code"/>
    <w:uiPriority w:val="99"/>
    <w:unhideWhenUsed/>
    <w:rsid w:val="002B348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4070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UnresolvedMention">
    <w:name w:val="Unresolved Mention"/>
    <w:uiPriority w:val="99"/>
    <w:semiHidden/>
    <w:unhideWhenUsed/>
    <w:rsid w:val="00445C46"/>
    <w:rPr>
      <w:color w:val="605E5C"/>
      <w:shd w:val="clear" w:color="auto" w:fill="E1DFDD"/>
    </w:rPr>
  </w:style>
  <w:style w:type="character" w:customStyle="1" w:styleId="HeaderChar">
    <w:name w:val="Header Char"/>
    <w:link w:val="Header"/>
    <w:uiPriority w:val="99"/>
    <w:rsid w:val="00F00716"/>
    <w:rPr>
      <w:sz w:val="24"/>
      <w:szCs w:val="24"/>
      <w:lang w:val="en-US" w:eastAsia="en-US"/>
    </w:rPr>
  </w:style>
  <w:style w:type="character" w:customStyle="1" w:styleId="FooterChar">
    <w:name w:val="Footer Char"/>
    <w:link w:val="Footer"/>
    <w:rsid w:val="00F00716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E134F0-3BD2-4EBB-8272-632329DA6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28</vt:lpstr>
    </vt:vector>
  </TitlesOfParts>
  <Company>APIIT SDN BHD</Company>
  <LinksUpToDate>false</LinksUpToDate>
  <CharactersWithSpaces>4882</CharactersWithSpaces>
  <SharedDoc>false</SharedDoc>
  <HLinks>
    <vt:vector size="18" baseType="variant">
      <vt:variant>
        <vt:i4>4128882</vt:i4>
      </vt:variant>
      <vt:variant>
        <vt:i4>6</vt:i4>
      </vt:variant>
      <vt:variant>
        <vt:i4>0</vt:i4>
      </vt:variant>
      <vt:variant>
        <vt:i4>5</vt:i4>
      </vt:variant>
      <vt:variant>
        <vt:lpwstr>https://192.168.0.192:8834/</vt:lpwstr>
      </vt:variant>
      <vt:variant>
        <vt:lpwstr/>
      </vt:variant>
      <vt:variant>
        <vt:i4>4128882</vt:i4>
      </vt:variant>
      <vt:variant>
        <vt:i4>3</vt:i4>
      </vt:variant>
      <vt:variant>
        <vt:i4>0</vt:i4>
      </vt:variant>
      <vt:variant>
        <vt:i4>5</vt:i4>
      </vt:variant>
      <vt:variant>
        <vt:lpwstr>https://192.168.0.192:8834/</vt:lpwstr>
      </vt:variant>
      <vt:variant>
        <vt:lpwstr/>
      </vt:variant>
      <vt:variant>
        <vt:i4>4521990</vt:i4>
      </vt:variant>
      <vt:variant>
        <vt:i4>0</vt:i4>
      </vt:variant>
      <vt:variant>
        <vt:i4>0</vt:i4>
      </vt:variant>
      <vt:variant>
        <vt:i4>5</vt:i4>
      </vt:variant>
      <vt:variant>
        <vt:lpwstr>https://www.tenable.com/downloads/nessus?loginAttempted=true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28</dc:title>
  <dc:subject/>
  <dc:creator>mrskwan</dc:creator>
  <cp:keywords/>
  <dc:description/>
  <cp:lastModifiedBy>WONG KIT HOONG</cp:lastModifiedBy>
  <cp:revision>3</cp:revision>
  <cp:lastPrinted>2003-09-02T08:30:00Z</cp:lastPrinted>
  <dcterms:created xsi:type="dcterms:W3CDTF">2026-04-30T02:29:00Z</dcterms:created>
  <dcterms:modified xsi:type="dcterms:W3CDTF">2026-07-19T02:51:00Z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94bec84a55fc49cc1d4a12201b12e0250e00d6afe71f44ec4bfcd4d36d3532ca</vt:lpwstr>
  </property>
</Properties>
</file>