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635" distL="635" distR="0" hidden="0" layoutInCell="1" locked="0" relativeHeight="0" simplePos="0">
                <wp:simplePos x="0" y="0"/>
                <wp:positionH relativeFrom="page">
                  <wp:posOffset>3618689</wp:posOffset>
                </wp:positionH>
                <wp:positionV relativeFrom="page">
                  <wp:posOffset>-29182</wp:posOffset>
                </wp:positionV>
                <wp:extent cx="3878527" cy="10630535"/>
                <wp:effectExtent b="0" l="0" r="0" t="0"/>
                <wp:wrapNone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06725" y="0"/>
                          <a:ext cx="3878527" cy="10630535"/>
                          <a:chOff x="3406725" y="0"/>
                          <a:chExt cx="3878550" cy="7560000"/>
                        </a:xfrm>
                      </wpg:grpSpPr>
                      <wpg:grpSp>
                        <wpg:cNvGrpSpPr/>
                        <wpg:grpSpPr>
                          <a:xfrm>
                            <a:off x="3406737" y="0"/>
                            <a:ext cx="3878527" cy="7560000"/>
                            <a:chOff x="-48638" y="-107004"/>
                            <a:chExt cx="3879038" cy="1063116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-48638" y="-107004"/>
                              <a:ext cx="3879025" cy="10631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-48638" y="-107004"/>
                              <a:ext cx="3834000" cy="10631160"/>
                              <a:chOff x="-48638" y="-107004"/>
                              <a:chExt cx="3834000" cy="1063116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-48638" y="-107004"/>
                                <a:ext cx="3834000" cy="10631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-2562" y="-43605"/>
                                <a:ext cx="206877" cy="105014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8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9" name="Shape 9"/>
                          <wps:spPr>
                            <a:xfrm>
                              <a:off x="128880" y="0"/>
                              <a:ext cx="3701520" cy="265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ndara" w:cs="Candara" w:eastAsia="Candara" w:hAnsi="Candar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72"/>
                                    <w:vertAlign w:val="baseline"/>
                                  </w:rPr>
                                  <w:t xml:space="preserve">2025</w:t>
                                </w:r>
                              </w:p>
                            </w:txbxContent>
                          </wps:txbx>
                          <wps:bodyPr anchorCtr="0" anchor="b" bIns="182875" lIns="365750" spcFirstLastPara="1" rIns="182875" wrap="square" tIns="18287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535091" y="7364198"/>
                              <a:ext cx="3239738" cy="26947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28/09/2025</w:t>
                                </w:r>
                              </w:p>
                            </w:txbxContent>
                          </wps:txbx>
                          <wps:bodyPr anchorCtr="0" anchor="b" bIns="182875" lIns="365750" spcFirstLastPara="1" rIns="182875" wrap="square" tIns="18287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635" distL="635" distR="0" hidden="0" layoutInCell="1" locked="0" relativeHeight="0" simplePos="0">
                <wp:simplePos x="0" y="0"/>
                <wp:positionH relativeFrom="page">
                  <wp:posOffset>3618689</wp:posOffset>
                </wp:positionH>
                <wp:positionV relativeFrom="page">
                  <wp:posOffset>-29182</wp:posOffset>
                </wp:positionV>
                <wp:extent cx="3878527" cy="10630535"/>
                <wp:effectExtent b="0" l="0" r="0" t="0"/>
                <wp:wrapNone/>
                <wp:docPr id="2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78527" cy="10630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8890" distT="8890" distL="8890" distR="8890" hidden="0" layoutInCell="1" locked="0" relativeHeight="0" simplePos="0">
                <wp:simplePos x="0" y="0"/>
                <wp:positionH relativeFrom="column">
                  <wp:posOffset>-359066</wp:posOffset>
                </wp:positionH>
                <wp:positionV relativeFrom="paragraph">
                  <wp:posOffset>-54265</wp:posOffset>
                </wp:positionV>
                <wp:extent cx="2968575" cy="35237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869625" y="3611725"/>
                          <a:ext cx="2952750" cy="33655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1CADE4"/>
                        </a:solidFill>
                        <a:ln cap="flat" cmpd="sng" w="15825">
                          <a:solidFill>
                            <a:srgbClr val="147FA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AT/DG/DCMI/DCGP/CQC/BI/2.0/FR/187/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highlight w:val="lightGray"/>
                                <w:vertAlign w:val="baseline"/>
                              </w:rPr>
                              <w:t xml:space="preserve">2025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highlight w:val="lightGray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8890" distT="8890" distL="8890" distR="8890" hidden="0" layoutInCell="1" locked="0" relativeHeight="0" simplePos="0">
                <wp:simplePos x="0" y="0"/>
                <wp:positionH relativeFrom="column">
                  <wp:posOffset>-359066</wp:posOffset>
                </wp:positionH>
                <wp:positionV relativeFrom="paragraph">
                  <wp:posOffset>-54265</wp:posOffset>
                </wp:positionV>
                <wp:extent cx="2968575" cy="352375"/>
                <wp:effectExtent b="0" l="0" r="0" t="0"/>
                <wp:wrapNone/>
                <wp:docPr id="2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8575" cy="352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both"/>
        <w:rPr>
          <w:rFonts w:ascii="Candara" w:cs="Candara" w:eastAsia="Candara" w:hAnsi="Candara"/>
          <w:sz w:val="24"/>
          <w:szCs w:val="24"/>
        </w:rPr>
      </w:pPr>
      <w:bookmarkStart w:colFirst="0" w:colLast="0" w:name="_heading=h.n13lm16h0akp" w:id="0"/>
      <w:bookmarkEnd w:id="0"/>
      <w:r w:rsidDel="00000000" w:rsidR="00000000" w:rsidRPr="00000000">
        <w:rPr/>
        <w:drawing>
          <wp:inline distB="0" distT="0" distL="0" distR="0">
            <wp:extent cx="1497330" cy="640715"/>
            <wp:effectExtent b="0" l="0" r="0" t="0"/>
            <wp:docPr descr="AT.png" id="23" name="image1.png"/>
            <a:graphic>
              <a:graphicData uri="http://schemas.openxmlformats.org/drawingml/2006/picture">
                <pic:pic>
                  <pic:nvPicPr>
                    <pic:cNvPr descr="AT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640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-484186</wp:posOffset>
                </wp:positionH>
                <wp:positionV relativeFrom="paragraph">
                  <wp:posOffset>117793</wp:posOffset>
                </wp:positionV>
                <wp:extent cx="7279005" cy="63436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60" y="3467580"/>
                          <a:ext cx="7269480" cy="624840"/>
                        </a:xfrm>
                        <a:prstGeom prst="rect">
                          <a:avLst/>
                        </a:prstGeom>
                        <a:solidFill>
                          <a:srgbClr val="BFD9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283.99999618530273" w:right="-208.99999618530273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ndara" w:cs="Candara" w:eastAsia="Candara" w:hAnsi="Candar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Nouvelle offre IDOOM Medium Business pour nouvelle acquisition et Modernisation </w:t>
                            </w:r>
                          </w:p>
                        </w:txbxContent>
                      </wps:txbx>
                      <wps:bodyPr anchorCtr="0" anchor="ctr" bIns="45700" lIns="182875" spcFirstLastPara="1" rIns="18287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-484186</wp:posOffset>
                </wp:positionH>
                <wp:positionV relativeFrom="paragraph">
                  <wp:posOffset>117793</wp:posOffset>
                </wp:positionV>
                <wp:extent cx="7279005" cy="634365"/>
                <wp:effectExtent b="0" l="0" r="0" t="0"/>
                <wp:wrapNone/>
                <wp:docPr id="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79005" cy="6343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ndara" w:cs="Candara" w:eastAsia="Candara" w:hAnsi="Candara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alibri" w:cs="Calibri" w:eastAsia="Calibri" w:hAnsi="Calibri"/>
          <w:i w:val="0"/>
          <w:iCs w:val="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8255" distT="9525" distL="9525" distR="8255" hidden="0" layoutInCell="1" locked="0" relativeHeight="0" simplePos="0">
                <wp:simplePos x="0" y="0"/>
                <wp:positionH relativeFrom="column">
                  <wp:posOffset>3817328</wp:posOffset>
                </wp:positionH>
                <wp:positionV relativeFrom="paragraph">
                  <wp:posOffset>596608</wp:posOffset>
                </wp:positionV>
                <wp:extent cx="1280123" cy="317098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713851" y="3629364"/>
                          <a:ext cx="1264298" cy="301273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5825">
                          <a:solidFill>
                            <a:srgbClr val="62A39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Version 2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8255" distT="9525" distL="9525" distR="8255" hidden="0" layoutInCell="1" locked="0" relativeHeight="0" simplePos="0">
                <wp:simplePos x="0" y="0"/>
                <wp:positionH relativeFrom="column">
                  <wp:posOffset>3817328</wp:posOffset>
                </wp:positionH>
                <wp:positionV relativeFrom="paragraph">
                  <wp:posOffset>596608</wp:posOffset>
                </wp:positionV>
                <wp:extent cx="1280123" cy="317098"/>
                <wp:effectExtent b="0" l="0" r="0" t="0"/>
                <wp:wrapNone/>
                <wp:docPr id="2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23" cy="3170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ind w:right="-21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nouvelle offre est conçue pour les professionnels et entreprises moyennes,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IDOOM Medium Business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propose des débits élevés, une connectivité fiable et des services adaptés aux besoins des structures économiques en pleine transformation numérique.</w:t>
        <w:br w:type="textWrapping"/>
        <w:t xml:space="preserve">Une nouvelle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règle de gestion relative à la Modernisation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des clients professionnels vers l’offre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« Idoom Medium Business »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Cette mesure a pour objectif d’offrir aux entreprises disposant de plusieurs lignes téléphoniques, sans nécessité d’un accès Internet sur chacune d’elles, la possibilité de bénéficier, dans le cadre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 modernisation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vers l’offre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Idoom Medium Business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d’une ligne principale voix et data, selon le débit choisi, complété par des accès VOIP réservés aux accès sans data.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210" w:hanging="360"/>
        <w:jc w:val="left"/>
        <w:rPr>
          <w:rFonts w:ascii="Twentieth Century" w:cs="Twentieth Century" w:eastAsia="Twentieth Century" w:hAnsi="Twentieth Century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Nouvelle acquisition 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 peut bénéficier de la nouvelle tarification ?</w:t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Calibri" w:cs="Calibri" w:eastAsia="Calibri" w:hAnsi="Calibri"/>
          <w:i w:val="0"/>
          <w:i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4"/>
          <w:szCs w:val="24"/>
          <w:rtl w:val="0"/>
        </w:rPr>
        <w:t xml:space="preserve">La cible de l’offre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IDOOM Medium Business</w:t>
      </w:r>
      <w:r w:rsidDel="00000000" w:rsidR="00000000" w:rsidRPr="00000000">
        <w:rPr>
          <w:rFonts w:ascii="Calibri" w:cs="Calibri" w:eastAsia="Calibri" w:hAnsi="Calibri"/>
          <w:i w:val="0"/>
          <w:iCs w:val="0"/>
          <w:sz w:val="24"/>
          <w:szCs w:val="24"/>
          <w:rtl w:val="0"/>
        </w:rPr>
        <w:t xml:space="preserve"> est conçue pour un type de client bien déterminé, sont les suivants 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STARTUP 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Profession libérale 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Artisan,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PME (Petite et Moyenne Entreprise) 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PMI (Petite ou moyenne entreprise industrielle) 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TPE (Très Petite Entreprise)</w:t>
      </w:r>
      <w:r w:rsidDel="00000000" w:rsidR="00000000" w:rsidRPr="00000000">
        <w:rPr>
          <w:rFonts w:ascii="Twentieth Century" w:cs="Twentieth Century" w:eastAsia="Twentieth Century" w:hAnsi="Twentieth Century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Hypermarchés.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nouveaux abonnés doivent-ils signer un contrat d’engagement ?</w:t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  <w:i w:val="0"/>
          <w:iCs w:val="0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En effet, les nouveaux abonnés sont tenus de s'engager pour une période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white"/>
          <w:rtl w:val="0"/>
        </w:rPr>
        <w:t xml:space="preserve">12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white"/>
          <w:rtl w:val="0"/>
        </w:rPr>
        <w:t xml:space="preserve"> mois.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02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Quels sont les détails de l’offre IDOOM Medium Business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nouvelle offre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IDOOM Medium Business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décline comme suit :</w:t>
      </w:r>
    </w:p>
    <w:p w:rsidR="00000000" w:rsidDel="00000000" w:rsidP="00000000" w:rsidRDefault="00000000" w:rsidRPr="00000000" w14:paraId="0000002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Dans le cadre d’une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nouvelle souscription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ou d’une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opération de modernisation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le client est tenu de s’acquitter des frais suivants 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Prix de l’ONT : 14 200,00 DZD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Frais d’installation : 6 000,00 DZD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9342.0" w:type="dxa"/>
        <w:jc w:val="left"/>
        <w:tblInd w:w="-10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3"/>
        <w:gridCol w:w="2965"/>
        <w:gridCol w:w="3834"/>
        <w:tblGridChange w:id="0">
          <w:tblGrid>
            <w:gridCol w:w="2543"/>
            <w:gridCol w:w="2965"/>
            <w:gridCol w:w="3834"/>
          </w:tblGrid>
        </w:tblGridChange>
      </w:tblGrid>
      <w:tr>
        <w:trPr>
          <w:cantSplit w:val="0"/>
          <w:trHeight w:val="121" w:hRule="atLeast"/>
          <w:tblHeader w:val="0"/>
        </w:trPr>
        <w:tc>
          <w:tcPr>
            <w:shd w:fill="002060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Débit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Tarif Mensuel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Avantages</w:t>
            </w:r>
          </w:p>
        </w:tc>
      </w:tr>
      <w:tr>
        <w:trPr>
          <w:cantSplit w:val="0"/>
          <w:trHeight w:val="347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Mbps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16 000 DA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 jours de connexion.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 Adresse Ip Fixe.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Prise en charge prioritaire en agence commerciale.</w:t>
            </w:r>
          </w:p>
        </w:tc>
      </w:tr>
      <w:tr>
        <w:trPr>
          <w:cantSplit w:val="0"/>
          <w:trHeight w:val="334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 Mbps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27 000 DA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 Mbps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35 000 DA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 Gbps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40 000 DA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1,6 Gbps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45 000 DA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NB 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tout abonnement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mois et plus, l'équipement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et les frais d’installation sont Offerts.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tout paiement annuel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mois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le client bénéficiera du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ème mois gratuitement.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Service Ide téléphonie fixe doom fixe :</w:t>
      </w:r>
    </w:p>
    <w:tbl>
      <w:tblPr>
        <w:tblStyle w:val="Table2"/>
        <w:tblW w:w="10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20"/>
        <w:gridCol w:w="5020"/>
        <w:tblGridChange w:id="0">
          <w:tblGrid>
            <w:gridCol w:w="5020"/>
            <w:gridCol w:w="502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shd w:fill="002060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Offre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Idoom fixe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d0d0d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d0d0d"/>
                <w:sz w:val="24"/>
                <w:szCs w:val="24"/>
                <w:highlight w:val="lightGray"/>
                <w:rtl w:val="0"/>
              </w:rPr>
              <w:t xml:space="preserve">Tarif mensuel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rFonts w:ascii="Calibri" w:cs="Calibri" w:eastAsia="Calibri" w:hAnsi="Calibri"/>
                <w:i w:val="0"/>
                <w:iCs w:val="0"/>
                <w:color w:val="0d0d0d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d0d0d"/>
                <w:sz w:val="24"/>
                <w:szCs w:val="24"/>
                <w:highlight w:val="lightGray"/>
                <w:rtl w:val="0"/>
              </w:rPr>
              <w:t xml:space="preserve">250 DA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d0d0d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d0d0d"/>
                <w:sz w:val="24"/>
                <w:szCs w:val="24"/>
                <w:highlight w:val="lightGray"/>
                <w:rtl w:val="0"/>
              </w:rPr>
              <w:t xml:space="preserve">Appels locaux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>
                <w:rFonts w:ascii="Calibri" w:cs="Calibri" w:eastAsia="Calibri" w:hAnsi="Calibri"/>
                <w:i w:val="0"/>
                <w:iCs w:val="0"/>
                <w:color w:val="0d0d0d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d0d0d"/>
                <w:sz w:val="24"/>
                <w:szCs w:val="24"/>
                <w:highlight w:val="lightGray"/>
                <w:rtl w:val="0"/>
              </w:rPr>
              <w:t xml:space="preserve">gratuits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d0d0d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d0d0d"/>
                <w:sz w:val="24"/>
                <w:szCs w:val="24"/>
                <w:highlight w:val="lightGray"/>
                <w:rtl w:val="0"/>
              </w:rPr>
              <w:t xml:space="preserve">Appels nationaux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rFonts w:ascii="Calibri" w:cs="Calibri" w:eastAsia="Calibri" w:hAnsi="Calibri"/>
                <w:i w:val="0"/>
                <w:iCs w:val="0"/>
                <w:color w:val="0d0d0d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d0d0d"/>
                <w:sz w:val="24"/>
                <w:szCs w:val="24"/>
                <w:highlight w:val="lightGray"/>
                <w:rtl w:val="0"/>
              </w:rPr>
              <w:t xml:space="preserve">Gratuits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d0d0d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d0d0d"/>
                <w:sz w:val="24"/>
                <w:szCs w:val="24"/>
                <w:highlight w:val="lightGray"/>
                <w:rtl w:val="0"/>
              </w:rPr>
              <w:t xml:space="preserve">Appels VoLTE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>
                <w:rFonts w:ascii="Calibri" w:cs="Calibri" w:eastAsia="Calibri" w:hAnsi="Calibri"/>
                <w:i w:val="0"/>
                <w:iCs w:val="0"/>
                <w:color w:val="0d0d0d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d0d0d"/>
                <w:sz w:val="24"/>
                <w:szCs w:val="24"/>
                <w:highlight w:val="lightGray"/>
                <w:rtl w:val="0"/>
              </w:rPr>
              <w:t xml:space="preserve">Gratuits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d0d0d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d0d0d"/>
                <w:sz w:val="24"/>
                <w:szCs w:val="24"/>
                <w:highlight w:val="lightGray"/>
                <w:rtl w:val="0"/>
              </w:rPr>
              <w:t xml:space="preserve">Appels vers mobiles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>
                <w:rFonts w:ascii="Calibri" w:cs="Calibri" w:eastAsia="Calibri" w:hAnsi="Calibri"/>
                <w:i w:val="0"/>
                <w:iCs w:val="0"/>
                <w:color w:val="0d0d0d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d0d0d"/>
                <w:sz w:val="24"/>
                <w:szCs w:val="24"/>
                <w:highlight w:val="lightGray"/>
                <w:rtl w:val="0"/>
              </w:rPr>
              <w:t xml:space="preserve">8 DA / minute (indivisible)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d0d0d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d0d0d"/>
                <w:sz w:val="24"/>
                <w:szCs w:val="24"/>
                <w:highlight w:val="lightGray"/>
                <w:rtl w:val="0"/>
              </w:rPr>
              <w:t xml:space="preserve">Appels internationaux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rFonts w:ascii="Calibri" w:cs="Calibri" w:eastAsia="Calibri" w:hAnsi="Calibri"/>
                <w:i w:val="0"/>
                <w:iCs w:val="0"/>
                <w:color w:val="0d0d0d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d0d0d"/>
                <w:sz w:val="24"/>
                <w:szCs w:val="24"/>
                <w:highlight w:val="lightGray"/>
                <w:rtl w:val="0"/>
              </w:rPr>
              <w:t xml:space="preserve">Selon la grille tarifaire en vigueur</w:t>
            </w:r>
          </w:p>
        </w:tc>
      </w:tr>
    </w:tbl>
    <w:p w:rsidR="00000000" w:rsidDel="00000000" w:rsidP="00000000" w:rsidRDefault="00000000" w:rsidRPr="00000000" w14:paraId="00000057">
      <w:pPr>
        <w:spacing w:after="0" w:lineRule="auto"/>
        <w:jc w:val="both"/>
        <w:rPr>
          <w:rFonts w:ascii="Calibri" w:cs="Calibri" w:eastAsia="Calibri" w:hAnsi="Calibri"/>
          <w:b w:val="1"/>
          <w:bCs w:val="1"/>
          <w:i w:val="0"/>
          <w:iCs w:val="0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Calibri" w:cs="Calibri" w:eastAsia="Calibri" w:hAnsi="Calibri"/>
          <w:b w:val="1"/>
          <w:bCs w:val="1"/>
          <w:i w:val="0"/>
          <w:iCs w:val="0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Quel est le dossier à fournir pour bénéficier de cette nouvelle offre 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4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Une copie de la Pièce d'Identité Nationale 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4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Un justificatif d'adresse 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4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En plus des documents administratifs requis, les clients visés doivent également fournir une preuve de leur appartenance à l'une des catégories cibles, telles qu'un extrait de registre de commerce, une carte professionnelle, un agrément,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une convention de I'ANSEJ, CNAC ou ANGEM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une copie de la carte fiscale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L’adresse IP fixe est-elle incluse dans la nouvelle offre et offerte gratuitement ?</w:t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Calibri" w:cs="Calibri" w:eastAsia="Calibri" w:hAnsi="Calibri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000000"/>
          <w:sz w:val="24"/>
          <w:szCs w:val="24"/>
          <w:rtl w:val="0"/>
        </w:rPr>
        <w:t xml:space="preserve">En effet, l’adresse IP fixe est offerte sans frais supplémentaires, elle est incluse dans le pack.</w:t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Quel est le débit en upload inclus dans cette offre ?</w:t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Calibri" w:cs="Calibri" w:eastAsia="Calibri" w:hAnsi="Calibri"/>
          <w:i w:val="0"/>
          <w:iCs w:val="0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0d0d0d"/>
          <w:sz w:val="24"/>
          <w:szCs w:val="24"/>
          <w:highlight w:val="white"/>
          <w:rtl w:val="0"/>
        </w:rPr>
        <w:t xml:space="preserve">Le débit en upload correspond 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d0d0d"/>
          <w:sz w:val="24"/>
          <w:szCs w:val="24"/>
          <w:highlight w:val="white"/>
          <w:rtl w:val="0"/>
        </w:rPr>
        <w:t xml:space="preserve">30 % du débit en download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0d0d0d"/>
          <w:sz w:val="24"/>
          <w:szCs w:val="24"/>
          <w:highlight w:val="white"/>
          <w:rtl w:val="0"/>
        </w:rPr>
        <w:t xml:space="preserve"> choisi par le client.</w:t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cible de clients visée par cette nouvelle offre restent-elle éligible à l’offre MOOHTARIF, ou en est-elle exclue ?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ind w:right="64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Le client peut librement choisir entre l’offre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MOOHTARIF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et la nouvelle offre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IDOOM MEDIUM BUSINESS,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 selon l'usages et besoins en bande passante.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-291146</wp:posOffset>
                </wp:positionH>
                <wp:positionV relativeFrom="paragraph">
                  <wp:posOffset>308928</wp:posOffset>
                </wp:positionV>
                <wp:extent cx="215265" cy="52006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43130" y="3524730"/>
                          <a:ext cx="205740" cy="510540"/>
                        </a:xfrm>
                        <a:prstGeom prst="curvedRightArrow">
                          <a:avLst>
                            <a:gd fmla="val 25000" name="adj1"/>
                            <a:gd fmla="val 50000" name="adj2"/>
                            <a:gd fmla="val 25000" name="adj3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-291146</wp:posOffset>
                </wp:positionH>
                <wp:positionV relativeFrom="paragraph">
                  <wp:posOffset>308928</wp:posOffset>
                </wp:positionV>
                <wp:extent cx="215265" cy="520065"/>
                <wp:effectExtent b="0" l="0" r="0" t="0"/>
                <wp:wrapNone/>
                <wp:docPr id="1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265" cy="520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rFonts w:ascii="Calibri" w:cs="Calibri" w:eastAsia="Calibri" w:hAnsi="Calibri"/>
          <w:color w:val="00b05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00b050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4" w:right="0" w:hanging="28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Un effort commercial ciblé peut également jouer un rôle déterminant pour orienter le client vers la nouvelle offre, en mettant en avant ses avantages adaptés à un usage professionnel. </w:t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Quels sont les avantages proposés dans la nouvelle offre IDOOM Medium Business 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Les avantages proposés dans cette nouvelle offre sont 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30 Jours de connexion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01 Adresse IP fixe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Prise en charge prioritaire en agence commerciale.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Pour tout abonnement de 03 mois et plus, l’équipement ONT et les frais d’installation sont offerts.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Pour tout paiement effectué pour une durée de 12 mois, le client bénéficiera d’un 13ᵉ mois offert.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21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Modernisation 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Quelle est la cible concernée par la modernisation vers l’offre Idoom Medium Business ?</w:t>
      </w:r>
    </w:p>
    <w:p w:rsidR="00000000" w:rsidDel="00000000" w:rsidP="00000000" w:rsidRDefault="00000000" w:rsidRPr="00000000" w14:paraId="00000072">
      <w:pPr>
        <w:spacing w:after="0" w:lineRule="auto"/>
        <w:ind w:left="-76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d0d0d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cible concerne les clients professionnels disposant déjà d’un accès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Idoom ADSL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VDSL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souhaitant une modernisation vers l’offre Idoom Medium Business.</w:t>
      </w:r>
    </w:p>
    <w:p w:rsidR="00000000" w:rsidDel="00000000" w:rsidP="00000000" w:rsidRDefault="00000000" w:rsidRPr="00000000" w14:paraId="00000073">
      <w:pPr>
        <w:spacing w:after="0" w:lineRule="auto"/>
        <w:ind w:left="-76" w:firstLine="0"/>
        <w:jc w:val="both"/>
        <w:rPr>
          <w:rFonts w:ascii="Calibri" w:cs="Calibri" w:eastAsia="Calibri" w:hAnsi="Calibri"/>
          <w:i w:val="0"/>
          <w:iCs w:val="0"/>
          <w:color w:val="0d0d0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284" w:hanging="283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Quelles sont les nouvelles règles de gestion à la modernisation vers l’offre Idoom Medium Business ? </w:t>
      </w:r>
    </w:p>
    <w:p w:rsidR="00000000" w:rsidDel="00000000" w:rsidP="00000000" w:rsidRDefault="00000000" w:rsidRPr="00000000" w14:paraId="00000075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Les détails de cette modernisation sont présentés dans le tableau ci-dessous :</w:t>
      </w:r>
    </w:p>
    <w:p w:rsidR="00000000" w:rsidDel="00000000" w:rsidP="00000000" w:rsidRDefault="00000000" w:rsidRPr="00000000" w14:paraId="00000076">
      <w:pPr>
        <w:spacing w:after="0" w:lineRule="auto"/>
        <w:jc w:val="both"/>
        <w:rPr>
          <w:rFonts w:ascii="Calibri" w:cs="Calibri" w:eastAsia="Calibri" w:hAnsi="Calibri"/>
          <w:i w:val="0"/>
          <w:iCs w:val="0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8"/>
        <w:gridCol w:w="2781"/>
        <w:gridCol w:w="2342"/>
        <w:gridCol w:w="3606"/>
        <w:tblGridChange w:id="0">
          <w:tblGrid>
            <w:gridCol w:w="1898"/>
            <w:gridCol w:w="2781"/>
            <w:gridCol w:w="2342"/>
            <w:gridCol w:w="36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shd w:fill="002060" w:val="clear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highlight w:val="darkBlu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highlight w:val="darkBlue"/>
                <w:rtl w:val="0"/>
              </w:rPr>
              <w:t xml:space="preserve">Type d’accès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highlight w:val="darkBlu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highlight w:val="darkBlue"/>
                <w:rtl w:val="0"/>
              </w:rPr>
              <w:t xml:space="preserve">Offre associée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highlight w:val="darkBlu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highlight w:val="darkBlue"/>
                <w:rtl w:val="0"/>
              </w:rPr>
              <w:t xml:space="preserve">ONT fourni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highlight w:val="darkBlu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highlight w:val="darkBlue"/>
                <w:rtl w:val="0"/>
              </w:rPr>
              <w:t xml:space="preserve">Conditions de souscription</w:t>
            </w:r>
          </w:p>
        </w:tc>
      </w:tr>
      <w:tr>
        <w:trPr>
          <w:cantSplit w:val="0"/>
          <w:trHeight w:val="1501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  <w:rtl w:val="0"/>
              </w:rPr>
              <w:t xml:space="preserve">Voix &amp; Data Tête de ligne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  <w:rtl w:val="0"/>
              </w:rPr>
              <w:t xml:space="preserve">Idoom Medium Business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  <w:rtl w:val="0"/>
              </w:rPr>
              <w:t xml:space="preserve">Wi-Fi 6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73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Prix de l’ONT : 14 200 DA.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73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Frais d’installation : 6000 DA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73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Redevance mensuelle : selon le débit choisi 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  <w:rtl w:val="0"/>
              </w:rPr>
              <w:t xml:space="preserve">Voix uniquement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  <w:rtl w:val="0"/>
              </w:rPr>
              <w:t xml:space="preserve">Idoom Fixe 250 DA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0d0d"/>
                <w:sz w:val="24"/>
                <w:szCs w:val="24"/>
                <w:highlight w:val="white"/>
                <w:rtl w:val="0"/>
              </w:rPr>
              <w:t xml:space="preserve">Wi-Fi 4 ou Wi-Fi 5 (Selon disponibilité)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8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31" w:right="0" w:hanging="218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Frais d’accès par ligne : 3000 DA</w:t>
            </w:r>
          </w:p>
        </w:tc>
      </w:tr>
    </w:tbl>
    <w:p w:rsidR="00000000" w:rsidDel="00000000" w:rsidP="00000000" w:rsidRDefault="00000000" w:rsidRPr="00000000" w14:paraId="0000008F">
      <w:pPr>
        <w:spacing w:after="0" w:lineRule="auto"/>
        <w:jc w:val="both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ind w:left="-284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NB 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28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tout abonnement internet de 03 mois ou plus, l'équipement ONT et les frais d’installation sont Offerts.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28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tout paiement annuel (12 mois) d’internet, le client bénéficiera du 13ème mois gratuitement.</w:t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rFonts w:ascii="Calibri" w:cs="Calibri" w:eastAsia="Calibri" w:hAnsi="Calibri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Que doivent régler les clients avant la modernisation vers l’offre Idoom Medium Business ?</w:t>
      </w:r>
    </w:p>
    <w:p w:rsidR="00000000" w:rsidDel="00000000" w:rsidP="00000000" w:rsidRDefault="00000000" w:rsidRPr="00000000" w14:paraId="00000095">
      <w:pPr>
        <w:spacing w:after="0" w:lineRule="auto"/>
        <w:jc w:val="both"/>
        <w:rPr>
          <w:rFonts w:ascii="Calibri" w:cs="Calibri" w:eastAsia="Calibri" w:hAnsi="Calibri"/>
          <w:i w:val="0"/>
          <w:iCs w:val="0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Dans le cadre du processus de modernisation vers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d0d0d"/>
          <w:sz w:val="24"/>
          <w:szCs w:val="24"/>
          <w:highlight w:val="white"/>
          <w:rtl w:val="0"/>
        </w:rPr>
        <w:t xml:space="preserve">l’offre Idoom Medium Business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il est exigé que les clients s’acquittent préalablement de l’ensemble des factures impayées relatives à la téléphonie fixe.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jc w:val="both"/>
        <w:rPr>
          <w:rFonts w:ascii="Calibri" w:cs="Calibri" w:eastAsia="Calibri" w:hAnsi="Calibri"/>
          <w:i w:val="0"/>
          <w:iCs w:val="0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 dois-je contacter en cas de problème ?</w:t>
      </w:r>
    </w:p>
    <w:p w:rsidR="00000000" w:rsidDel="00000000" w:rsidP="00000000" w:rsidRDefault="00000000" w:rsidRPr="00000000" w14:paraId="00000098">
      <w:pPr>
        <w:spacing w:after="0" w:lineRule="auto"/>
        <w:ind w:left="284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4"/>
          <w:szCs w:val="24"/>
          <w:rtl w:val="0"/>
        </w:rPr>
        <w:t xml:space="preserve">Pour toute information ou réclamation, veuillez-vous rapprocher de votre agence commerciale ou contacter 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101 </w:t>
      </w:r>
      <w:r w:rsidDel="00000000" w:rsidR="00000000" w:rsidRPr="00000000">
        <w:rPr>
          <w:rFonts w:ascii="Calibri" w:cs="Calibri" w:eastAsia="Calibri" w:hAnsi="Calibri"/>
          <w:i w:val="0"/>
          <w:iCs w:val="0"/>
          <w:sz w:val="24"/>
          <w:szCs w:val="24"/>
          <w:rtl w:val="0"/>
        </w:rPr>
        <w:t xml:space="preserve">à partir d’une ligne fixe ou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" w:line="240" w:lineRule="auto"/>
        <w:ind w:left="-284" w:right="-69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b050" w:val="clear"/>
        <w:spacing w:after="0" w:before="30" w:line="240" w:lineRule="auto"/>
        <w:ind w:left="-284" w:right="8079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Important 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12" w:val="single"/>
          <w:right w:space="0" w:sz="0" w:val="nil"/>
          <w:between w:space="0" w:sz="0" w:val="nil"/>
        </w:pBdr>
        <w:shd w:fill="ffffff" w:val="clear"/>
        <w:spacing w:after="0" w:before="30" w:line="240" w:lineRule="auto"/>
        <w:ind w:left="-284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Nous vous rappelons que la messagerie «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» 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c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FB@algerietelecom.dz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 exclusivement réservée aux demandes d’informations commerciales et aux clarifications sur les notes ou procédures établies. N’hésitez pas à nous faire part en cas de nécessité.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Calibri" w:cs="Calibri" w:eastAsia="Calibri" w:hAnsi="Calibri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851" w:top="851" w:left="851" w:right="849" w:header="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Twentieth Century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okmarkStart w:colFirst="0" w:colLast="0" w:name="bookmark=id.aj66ypsr97bb" w:id="1"/>
  <w:bookmarkEnd w:id="1"/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wentieth Century" w:cs="Twentieth Century" w:eastAsia="Twentieth Century" w:hAnsi="Twentieth Century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wentieth Century" w:cs="Twentieth Century" w:eastAsia="Twentieth Century" w:hAnsi="Twentieth Century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wentieth Century" w:cs="Twentieth Century" w:eastAsia="Twentieth Century" w:hAnsi="Twentieth Century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>
        <w:rFonts w:ascii="Calibri" w:cs="Calibri" w:eastAsia="Calibri" w:hAnsi="Calibri"/>
        <w:b w:val="1"/>
        <w:bCs w:val="1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582" w:hanging="360"/>
      </w:pPr>
      <w:rPr/>
    </w:lvl>
    <w:lvl w:ilvl="2">
      <w:start w:val="1"/>
      <w:numFmt w:val="lowerRoman"/>
      <w:lvlText w:val="%3."/>
      <w:lvlJc w:val="right"/>
      <w:pPr>
        <w:ind w:left="2302" w:hanging="180"/>
      </w:pPr>
      <w:rPr/>
    </w:lvl>
    <w:lvl w:ilvl="3">
      <w:start w:val="1"/>
      <w:numFmt w:val="decimal"/>
      <w:lvlText w:val="%4."/>
      <w:lvlJc w:val="left"/>
      <w:pPr>
        <w:ind w:left="3022" w:hanging="360"/>
      </w:pPr>
      <w:rPr/>
    </w:lvl>
    <w:lvl w:ilvl="4">
      <w:start w:val="1"/>
      <w:numFmt w:val="lowerLetter"/>
      <w:lvlText w:val="%5."/>
      <w:lvlJc w:val="left"/>
      <w:pPr>
        <w:ind w:left="3742" w:hanging="360"/>
      </w:pPr>
      <w:rPr/>
    </w:lvl>
    <w:lvl w:ilvl="5">
      <w:start w:val="1"/>
      <w:numFmt w:val="lowerRoman"/>
      <w:lvlText w:val="%6."/>
      <w:lvlJc w:val="right"/>
      <w:pPr>
        <w:ind w:left="4462" w:hanging="180"/>
      </w:pPr>
      <w:rPr/>
    </w:lvl>
    <w:lvl w:ilvl="6">
      <w:start w:val="1"/>
      <w:numFmt w:val="decimal"/>
      <w:lvlText w:val="%7."/>
      <w:lvlJc w:val="left"/>
      <w:pPr>
        <w:ind w:left="5182" w:hanging="360"/>
      </w:pPr>
      <w:rPr/>
    </w:lvl>
    <w:lvl w:ilvl="7">
      <w:start w:val="1"/>
      <w:numFmt w:val="lowerLetter"/>
      <w:lvlText w:val="%8."/>
      <w:lvlJc w:val="left"/>
      <w:pPr>
        <w:ind w:left="5902" w:hanging="360"/>
      </w:pPr>
      <w:rPr/>
    </w:lvl>
    <w:lvl w:ilvl="8">
      <w:start w:val="1"/>
      <w:numFmt w:val="lowerRoman"/>
      <w:lvlText w:val="%9."/>
      <w:lvlJc w:val="right"/>
      <w:pPr>
        <w:ind w:left="6622" w:hanging="18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  <w:b w:val="1"/>
        <w:bCs w:val="1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502" w:hanging="360"/>
      </w:pPr>
      <w:rPr>
        <w:rFonts w:ascii="Noto Sans Symbols" w:cs="Noto Sans Symbols" w:eastAsia="Noto Sans Symbols" w:hAnsi="Noto Sans Symbols"/>
        <w:b w:val="1"/>
        <w:bCs w:val="1"/>
        <w:color w:val="0070c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✔"/>
      <w:lvlJc w:val="left"/>
      <w:pPr>
        <w:ind w:left="644" w:hanging="359.99999999999994"/>
      </w:pPr>
      <w:rPr>
        <w:rFonts w:ascii="Noto Sans Symbols" w:cs="Noto Sans Symbols" w:eastAsia="Noto Sans Symbols" w:hAnsi="Noto Sans Symbols"/>
        <w:b w:val="1"/>
        <w:bCs w:val="1"/>
        <w:color w:val="00b05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entieth Century" w:cs="Twentieth Century" w:eastAsia="Twentieth Century" w:hAnsi="Twentieth Century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wentieth Century" w:cs="Twentieth Century" w:eastAsia="Twentieth Century" w:hAnsi="Twentieth Century"/>
      <w:b w:val="1"/>
      <w:bCs w:val="1"/>
      <w:color w:val="1481a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wentieth Century" w:cs="Twentieth Century" w:eastAsia="Twentieth Century" w:hAnsi="Twentieth Century"/>
      <w:b w:val="1"/>
      <w:bCs w:val="1"/>
      <w:color w:val="1cade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wentieth Century" w:cs="Twentieth Century" w:eastAsia="Twentieth Century" w:hAnsi="Twentieth Century"/>
      <w:b w:val="1"/>
      <w:bCs w:val="1"/>
      <w:color w:val="1cade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Twentieth Century" w:cs="Twentieth Century" w:eastAsia="Twentieth Century" w:hAnsi="Twentieth Century"/>
      <w:b w:val="1"/>
      <w:bCs w:val="1"/>
      <w:i w:val="1"/>
      <w:iCs w:val="1"/>
      <w:color w:val="1cade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Twentieth Century" w:cs="Twentieth Century" w:eastAsia="Twentieth Century" w:hAnsi="Twentieth Century"/>
      <w:color w:val="0d567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Twentieth Century" w:cs="Twentieth Century" w:eastAsia="Twentieth Century" w:hAnsi="Twentieth Century"/>
      <w:i w:val="1"/>
      <w:iCs w:val="1"/>
      <w:color w:val="0d5671"/>
    </w:rPr>
  </w:style>
  <w:style w:type="paragraph" w:styleId="Title">
    <w:name w:val="Title"/>
    <w:basedOn w:val="Normal"/>
    <w:next w:val="Normal"/>
    <w:pPr>
      <w:pBdr>
        <w:bottom w:color="1cade4" w:space="4" w:sz="8" w:val="single"/>
      </w:pBdr>
      <w:spacing w:after="300" w:line="240" w:lineRule="auto"/>
    </w:pPr>
    <w:rPr>
      <w:rFonts w:ascii="Twentieth Century" w:cs="Twentieth Century" w:eastAsia="Twentieth Century" w:hAnsi="Twentieth Century"/>
      <w:color w:val="264456"/>
      <w:sz w:val="52"/>
      <w:szCs w:val="52"/>
    </w:rPr>
  </w:style>
  <w:style w:type="paragraph" w:styleId="Titre7">
    <w:name w:val="heading 7"/>
    <w:basedOn w:val="Normal"/>
    <w:next w:val="Normal"/>
    <w:link w:val="Titre7Car"/>
    <w:qFormat w:val="1"/>
    <w:pPr>
      <w:keepNext w:val="1"/>
      <w:keepLines w:val="1"/>
      <w:spacing w:after="0" w:before="200"/>
      <w:outlineLvl w:val="6"/>
    </w:pPr>
    <w:rPr>
      <w:rFonts w:ascii="Tw Cen MT Condensed" w:hAnsi="Tw Cen MT Condensed"/>
      <w:i w:val="1"/>
      <w:iCs w:val="1"/>
      <w:color w:val="404040" w:themeColor="dark1" w:themeTint="0000BF"/>
    </w:rPr>
  </w:style>
  <w:style w:type="paragraph" w:styleId="Titre8">
    <w:name w:val="heading 8"/>
    <w:basedOn w:val="Normal"/>
    <w:next w:val="Normal"/>
    <w:link w:val="Titre8Car"/>
    <w:qFormat w:val="1"/>
    <w:pPr>
      <w:keepNext w:val="1"/>
      <w:keepLines w:val="1"/>
      <w:spacing w:after="0" w:before="200"/>
      <w:outlineLvl w:val="7"/>
    </w:pPr>
    <w:rPr>
      <w:rFonts w:ascii="Tw Cen MT Condensed" w:hAnsi="Tw Cen MT Condensed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qFormat w:val="1"/>
    <w:pPr>
      <w:keepNext w:val="1"/>
      <w:keepLines w:val="1"/>
      <w:spacing w:after="0" w:before="200"/>
      <w:outlineLvl w:val="8"/>
    </w:pPr>
    <w:rPr>
      <w:rFonts w:ascii="Tw Cen MT Condensed" w:hAnsi="Tw Cen MT Condensed"/>
      <w:i w:val="1"/>
      <w:iCs w:val="1"/>
      <w:color w:val="404040" w:themeColor="dark1" w:themeTint="0000BF"/>
      <w:sz w:val="20"/>
      <w:szCs w:val="20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apple-converted-space" w:customStyle="1">
    <w:name w:val="apple-converted-space"/>
    <w:basedOn w:val="Policepardfaut"/>
    <w:qFormat w:val="1"/>
  </w:style>
  <w:style w:type="character" w:styleId="TextedebullesCar" w:customStyle="1">
    <w:name w:val="Texte de bulles Car"/>
    <w:basedOn w:val="Policepardfaut"/>
    <w:link w:val="Textedebulles"/>
    <w:qFormat w:val="1"/>
    <w:rPr>
      <w:rFonts w:ascii="Tahoma" w:cs="Tahoma" w:hAnsi="Tahoma"/>
      <w:sz w:val="16"/>
      <w:szCs w:val="16"/>
    </w:rPr>
  </w:style>
  <w:style w:type="character" w:styleId="SansinterligneCar" w:customStyle="1">
    <w:name w:val="Sans interligne Car"/>
    <w:basedOn w:val="Policepardfaut"/>
    <w:link w:val="Sansinterligne"/>
    <w:qFormat w:val="1"/>
  </w:style>
  <w:style w:type="character" w:styleId="En-tteCar" w:customStyle="1">
    <w:name w:val="En-tête Car"/>
    <w:basedOn w:val="Policepardfaut"/>
    <w:link w:val="En-tte"/>
    <w:qFormat w:val="1"/>
  </w:style>
  <w:style w:type="character" w:styleId="PieddepageCar" w:customStyle="1">
    <w:name w:val="Pied de page Car"/>
    <w:basedOn w:val="Policepardfaut"/>
    <w:link w:val="Pieddepage"/>
    <w:qFormat w:val="1"/>
  </w:style>
  <w:style w:type="character" w:styleId="lev">
    <w:name w:val="Strong"/>
    <w:basedOn w:val="Policepardfaut"/>
    <w:uiPriority w:val="22"/>
    <w:qFormat w:val="1"/>
    <w:rPr>
      <w:b w:val="1"/>
      <w:bCs w:val="1"/>
    </w:rPr>
  </w:style>
  <w:style w:type="character" w:styleId="CorpsdetexteCar" w:customStyle="1">
    <w:name w:val="Corps de texte Car"/>
    <w:basedOn w:val="Policepardfaut"/>
    <w:link w:val="Corpsdetexte"/>
    <w:qFormat w:val="1"/>
    <w:rPr>
      <w:rFonts w:ascii="Arial" w:cs="Arial" w:eastAsia="Arial" w:hAnsi="Arial"/>
      <w:sz w:val="25"/>
      <w:szCs w:val="25"/>
    </w:rPr>
  </w:style>
  <w:style w:type="character" w:styleId="Lienhypertexte">
    <w:name w:val="Hyperlink"/>
    <w:basedOn w:val="Policepardfaut"/>
    <w:uiPriority w:val="99"/>
    <w:rPr>
      <w:color w:val="6b9f25" w:themeColor="hyperlink"/>
      <w:u w:val="single"/>
    </w:rPr>
  </w:style>
  <w:style w:type="character" w:styleId="Titre1Car" w:customStyle="1">
    <w:name w:val="Titre 1 Car"/>
    <w:basedOn w:val="Policepardfaut"/>
    <w:link w:val="Titre1"/>
    <w:qFormat w:val="1"/>
    <w:rPr>
      <w:rFonts w:ascii="Tw Cen MT Condensed" w:cs="Tahoma" w:eastAsia="Segoe UI" w:hAnsi="Tw Cen MT Condensed"/>
      <w:b w:val="1"/>
      <w:bCs w:val="1"/>
      <w:color w:val="1481ab" w:themeColor="accent1" w:themeShade="0000BF"/>
      <w:sz w:val="28"/>
      <w:szCs w:val="28"/>
    </w:rPr>
  </w:style>
  <w:style w:type="character" w:styleId="Titre2Car" w:customStyle="1">
    <w:name w:val="Titre 2 Car"/>
    <w:basedOn w:val="Policepardfaut"/>
    <w:link w:val="Titre2"/>
    <w:qFormat w:val="1"/>
    <w:rPr>
      <w:rFonts w:ascii="Tw Cen MT Condensed" w:cs="Tahoma" w:eastAsia="Segoe UI" w:hAnsi="Tw Cen MT Condensed"/>
      <w:b w:val="1"/>
      <w:bCs w:val="1"/>
      <w:color w:val="1cade4" w:themeColor="accent1"/>
      <w:sz w:val="26"/>
      <w:szCs w:val="26"/>
    </w:rPr>
  </w:style>
  <w:style w:type="character" w:styleId="Titre3Car" w:customStyle="1">
    <w:name w:val="Titre 3 Car"/>
    <w:basedOn w:val="Policepardfaut"/>
    <w:link w:val="Titre3"/>
    <w:qFormat w:val="1"/>
    <w:rPr>
      <w:rFonts w:ascii="Tw Cen MT Condensed" w:cs="Tahoma" w:eastAsia="Segoe UI" w:hAnsi="Tw Cen MT Condensed"/>
      <w:b w:val="1"/>
      <w:bCs w:val="1"/>
      <w:color w:val="1cade4" w:themeColor="accent1"/>
    </w:rPr>
  </w:style>
  <w:style w:type="character" w:styleId="Titre4Car" w:customStyle="1">
    <w:name w:val="Titre 4 Car"/>
    <w:basedOn w:val="Policepardfaut"/>
    <w:link w:val="Titre4"/>
    <w:qFormat w:val="1"/>
    <w:rPr>
      <w:rFonts w:ascii="Tw Cen MT Condensed" w:cs="Tahoma" w:eastAsia="Segoe UI" w:hAnsi="Tw Cen MT Condensed"/>
      <w:b w:val="1"/>
      <w:bCs w:val="1"/>
      <w:i w:val="1"/>
      <w:iCs w:val="1"/>
      <w:color w:val="1cade4" w:themeColor="accent1"/>
    </w:rPr>
  </w:style>
  <w:style w:type="character" w:styleId="Titre5Car" w:customStyle="1">
    <w:name w:val="Titre 5 Car"/>
    <w:basedOn w:val="Policepardfaut"/>
    <w:link w:val="Titre5"/>
    <w:qFormat w:val="1"/>
    <w:rPr>
      <w:rFonts w:ascii="Tw Cen MT Condensed" w:cs="Tahoma" w:eastAsia="Segoe UI" w:hAnsi="Tw Cen MT Condensed"/>
      <w:color w:val="0d5571" w:themeColor="accent1" w:themeShade="00007F"/>
    </w:rPr>
  </w:style>
  <w:style w:type="character" w:styleId="Titre6Car" w:customStyle="1">
    <w:name w:val="Titre 6 Car"/>
    <w:basedOn w:val="Policepardfaut"/>
    <w:link w:val="Titre6"/>
    <w:qFormat w:val="1"/>
    <w:rPr>
      <w:rFonts w:ascii="Tw Cen MT Condensed" w:cs="Tahoma" w:eastAsia="Segoe UI" w:hAnsi="Tw Cen MT Condensed"/>
      <w:i w:val="1"/>
      <w:iCs w:val="1"/>
      <w:color w:val="0d5571" w:themeColor="accent1" w:themeShade="00007F"/>
    </w:rPr>
  </w:style>
  <w:style w:type="character" w:styleId="Titre7Car" w:customStyle="1">
    <w:name w:val="Titre 7 Car"/>
    <w:basedOn w:val="Policepardfaut"/>
    <w:link w:val="Titre7"/>
    <w:qFormat w:val="1"/>
    <w:rPr>
      <w:rFonts w:ascii="Tw Cen MT Condensed" w:cs="Tahoma" w:eastAsia="Segoe UI" w:hAnsi="Tw Cen MT Condensed"/>
      <w:i w:val="1"/>
      <w:iCs w:val="1"/>
      <w:color w:val="404040" w:themeColor="dark1" w:themeTint="0000BF"/>
    </w:rPr>
  </w:style>
  <w:style w:type="character" w:styleId="Titre8Car" w:customStyle="1">
    <w:name w:val="Titre 8 Car"/>
    <w:basedOn w:val="Policepardfaut"/>
    <w:link w:val="Titre8"/>
    <w:qFormat w:val="1"/>
    <w:rPr>
      <w:rFonts w:ascii="Tw Cen MT Condensed" w:cs="Tahoma" w:eastAsia="Segoe UI" w:hAnsi="Tw Cen MT Condensed"/>
      <w:color w:val="1cade4" w:themeColor="accent1"/>
      <w:sz w:val="20"/>
      <w:szCs w:val="20"/>
    </w:rPr>
  </w:style>
  <w:style w:type="character" w:styleId="Titre9Car" w:customStyle="1">
    <w:name w:val="Titre 9 Car"/>
    <w:basedOn w:val="Policepardfaut"/>
    <w:link w:val="Titre9"/>
    <w:qFormat w:val="1"/>
    <w:rPr>
      <w:rFonts w:ascii="Tw Cen MT Condensed" w:cs="Tahoma" w:eastAsia="Segoe UI" w:hAnsi="Tw Cen MT Condensed"/>
      <w:i w:val="1"/>
      <w:iCs w:val="1"/>
      <w:color w:val="404040" w:themeColor="dark1" w:themeTint="0000BF"/>
      <w:sz w:val="20"/>
      <w:szCs w:val="20"/>
    </w:rPr>
  </w:style>
  <w:style w:type="character" w:styleId="TitreCar" w:customStyle="1">
    <w:name w:val="Titre Car"/>
    <w:basedOn w:val="Policepardfaut"/>
    <w:link w:val="Titre"/>
    <w:qFormat w:val="1"/>
    <w:rPr>
      <w:rFonts w:ascii="Tw Cen MT Condensed" w:cs="Tahoma" w:eastAsia="Segoe UI" w:hAnsi="Tw Cen MT Condensed"/>
      <w:color w:val="264356" w:themeColor="dark2" w:themeShade="0000BF"/>
      <w:spacing w:val="5"/>
      <w:sz w:val="52"/>
      <w:szCs w:val="52"/>
    </w:rPr>
  </w:style>
  <w:style w:type="character" w:styleId="Sous-titreCar" w:customStyle="1">
    <w:name w:val="Sous-titre Car"/>
    <w:basedOn w:val="Policepardfaut"/>
    <w:link w:val="Sous-titre"/>
    <w:qFormat w:val="1"/>
    <w:rPr>
      <w:rFonts w:ascii="Tw Cen MT Condensed" w:cs="Tahoma" w:eastAsia="Segoe UI" w:hAnsi="Tw Cen MT Condensed"/>
      <w:i w:val="1"/>
      <w:iCs w:val="1"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 w:val="1"/>
    <w:rPr>
      <w:i w:val="1"/>
      <w:iCs w:val="1"/>
    </w:rPr>
  </w:style>
  <w:style w:type="character" w:styleId="CitationCar" w:customStyle="1">
    <w:name w:val="Citation Car"/>
    <w:basedOn w:val="Policepardfaut"/>
    <w:link w:val="Citation"/>
    <w:qFormat w:val="1"/>
    <w:rPr>
      <w:i w:val="1"/>
      <w:iCs w:val="1"/>
      <w:color w:val="000000" w:themeColor="dark1"/>
    </w:rPr>
  </w:style>
  <w:style w:type="character" w:styleId="CitationintenseCar" w:customStyle="1">
    <w:name w:val="Citation intense Car"/>
    <w:basedOn w:val="Policepardfaut"/>
    <w:link w:val="Citationintense"/>
    <w:qFormat w:val="1"/>
    <w:rPr>
      <w:b w:val="1"/>
      <w:bCs w:val="1"/>
      <w:i w:val="1"/>
      <w:iCs w:val="1"/>
      <w:color w:val="1cade4" w:themeColor="accent1"/>
    </w:rPr>
  </w:style>
  <w:style w:type="character" w:styleId="Emphaseple">
    <w:name w:val="Subtle Emphasis"/>
    <w:basedOn w:val="Policepardfaut"/>
    <w:qFormat w:val="1"/>
    <w:rPr>
      <w:i w:val="1"/>
      <w:iCs w:val="1"/>
      <w:color w:val="808080" w:themeColor="dark1" w:themeTint="00007F"/>
    </w:rPr>
  </w:style>
  <w:style w:type="character" w:styleId="Emphaseintense">
    <w:name w:val="Intense Emphasis"/>
    <w:basedOn w:val="Policepardfaut"/>
    <w:qFormat w:val="1"/>
    <w:rPr>
      <w:b w:val="1"/>
      <w:bCs w:val="1"/>
      <w:i w:val="1"/>
      <w:iCs w:val="1"/>
      <w:color w:val="1cade4" w:themeColor="accent1"/>
    </w:rPr>
  </w:style>
  <w:style w:type="character" w:styleId="Rfrenceple">
    <w:name w:val="Subtle Reference"/>
    <w:basedOn w:val="Policepardfaut"/>
    <w:qFormat w:val="1"/>
    <w:rPr>
      <w:smallCaps w:val="1"/>
      <w:color w:val="2683c6" w:themeColor="accent2"/>
      <w:u w:val="single"/>
    </w:rPr>
  </w:style>
  <w:style w:type="character" w:styleId="Rfrenceintense">
    <w:name w:val="Intense Reference"/>
    <w:basedOn w:val="Policepardfaut"/>
    <w:qFormat w:val="1"/>
    <w:rPr>
      <w:b w:val="1"/>
      <w:bCs w:val="1"/>
      <w:smallCaps w:val="1"/>
      <w:color w:val="2683c6" w:themeColor="accent2"/>
      <w:spacing w:val="5"/>
      <w:u w:val="single"/>
    </w:rPr>
  </w:style>
  <w:style w:type="character" w:styleId="Titredulivre">
    <w:name w:val="Book Title"/>
    <w:basedOn w:val="Policepardfaut"/>
    <w:qFormat w:val="1"/>
    <w:rPr>
      <w:b w:val="1"/>
      <w:bCs w:val="1"/>
      <w:smallCaps w:val="1"/>
      <w:spacing w:val="5"/>
    </w:rPr>
  </w:style>
  <w:style w:type="character" w:styleId="ParagraphedelisteCar" w:customStyle="1">
    <w:name w:val="Paragraphe de liste Car"/>
    <w:link w:val="Paragraphedeliste"/>
    <w:uiPriority w:val="34"/>
    <w:qFormat w:val="1"/>
  </w:style>
  <w:style w:type="character" w:styleId="PrformatHTMLCar" w:customStyle="1">
    <w:name w:val="Préformaté HTML Car"/>
    <w:basedOn w:val="Policepardfaut"/>
    <w:link w:val="PrformatHTML"/>
    <w:qFormat w:val="1"/>
    <w:rPr>
      <w:rFonts w:ascii="Courier New" w:cs="Courier New" w:eastAsia="Times New Roman" w:hAnsi="Courier New"/>
      <w:sz w:val="20"/>
      <w:szCs w:val="20"/>
      <w:lang w:eastAsia="fr-FR"/>
    </w:rPr>
  </w:style>
  <w:style w:type="character" w:styleId="y2iqfc" w:customStyle="1">
    <w:name w:val="y2iqfc"/>
    <w:basedOn w:val="Policepardfaut"/>
    <w:qFormat w:val="1"/>
  </w:style>
  <w:style w:type="character" w:styleId="Caractresdenumrotation" w:customStyle="1">
    <w:name w:val="Caractères de numérotation"/>
    <w:qFormat w:val="1"/>
    <w:rPr>
      <w:rFonts w:ascii="Candara" w:hAnsi="Candara"/>
      <w:b w:val="1"/>
      <w:bCs w:val="1"/>
      <w:sz w:val="24"/>
      <w:szCs w:val="24"/>
    </w:rPr>
  </w:style>
  <w:style w:type="character" w:styleId="Puces" w:customStyle="1">
    <w:name w:val="Puces"/>
    <w:qFormat w:val="1"/>
    <w:rPr>
      <w:rFonts w:ascii="OpenSymbol" w:cs="OpenSymbol" w:eastAsia="OpenSymbol" w:hAnsi="OpenSymbol"/>
    </w:rPr>
  </w:style>
  <w:style w:type="paragraph" w:styleId="Corpsdetexte">
    <w:name w:val="Body Text"/>
    <w:basedOn w:val="Normal"/>
    <w:link w:val="CorpsdetexteCar"/>
    <w:pPr>
      <w:widowControl w:val="0"/>
      <w:spacing w:after="0" w:line="240" w:lineRule="auto"/>
    </w:pPr>
    <w:rPr>
      <w:rFonts w:ascii="Arial" w:cs="Arial" w:eastAsia="Arial" w:hAnsi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Arial"/>
    </w:rPr>
  </w:style>
  <w:style w:type="paragraph" w:styleId="textemoyenbleu" w:customStyle="1">
    <w:name w:val="texte_moyen_bleu"/>
    <w:basedOn w:val="Normal"/>
    <w:qFormat w:val="1"/>
    <w:pPr>
      <w:spacing w:after="280" w:before="280" w:line="240" w:lineRule="auto"/>
    </w:pPr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 w:val="1"/>
    <w:pPr>
      <w:ind w:left="720"/>
      <w:contextualSpacing w:val="1"/>
    </w:pPr>
  </w:style>
  <w:style w:type="paragraph" w:styleId="Textedebulles">
    <w:name w:val="Balloon Text"/>
    <w:basedOn w:val="Normal"/>
    <w:link w:val="TextedebullesCar"/>
    <w:qFormat w:val="1"/>
    <w:pPr>
      <w:spacing w:after="0" w:line="240" w:lineRule="auto"/>
    </w:pPr>
    <w:rPr>
      <w:rFonts w:ascii="Tahoma" w:hAnsi="Tahoma"/>
      <w:sz w:val="16"/>
      <w:szCs w:val="16"/>
    </w:rPr>
  </w:style>
  <w:style w:type="paragraph" w:styleId="Sansinterligne">
    <w:name w:val="No Spacing"/>
    <w:link w:val="SansinterligneCar"/>
    <w:qFormat w:val="1"/>
  </w:style>
  <w:style w:type="paragraph" w:styleId="Default" w:customStyle="1">
    <w:name w:val="Default"/>
    <w:qFormat w:val="1"/>
    <w:rPr>
      <w:rFonts w:ascii="Cambria" w:cs="Cambria" w:hAnsi="Cambria"/>
      <w:color w:val="000000"/>
      <w:sz w:val="24"/>
      <w:szCs w:val="24"/>
    </w:rPr>
  </w:style>
  <w:style w:type="paragraph" w:styleId="En-tteetpieddepage" w:customStyle="1">
    <w:name w:val="En-tête et pied de page"/>
    <w:basedOn w:val="Normal"/>
    <w:qFormat w:val="1"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qFormat w:val="1"/>
    <w:pPr>
      <w:spacing w:after="280" w:before="280" w:line="240" w:lineRule="auto"/>
    </w:pPr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caption1" w:customStyle="1">
    <w:name w:val="caption1"/>
    <w:basedOn w:val="Normal"/>
    <w:next w:val="Normal"/>
    <w:qFormat w:val="1"/>
    <w:pPr>
      <w:spacing w:line="240" w:lineRule="auto"/>
    </w:pPr>
    <w:rPr>
      <w:b w:val="1"/>
      <w:bCs w:val="1"/>
      <w:color w:val="1cade4" w:themeColor="accent1"/>
      <w:sz w:val="18"/>
      <w:szCs w:val="18"/>
    </w:rPr>
  </w:style>
  <w:style w:type="paragraph" w:styleId="Citation">
    <w:name w:val="Quote"/>
    <w:basedOn w:val="Normal"/>
    <w:next w:val="Normal"/>
    <w:link w:val="CitationCar"/>
    <w:qFormat w:val="1"/>
    <w:rPr>
      <w:i w:val="1"/>
      <w:iCs w:val="1"/>
      <w:color w:val="000000" w:themeColor="dark1"/>
    </w:rPr>
  </w:style>
  <w:style w:type="paragraph" w:styleId="Citationintense">
    <w:name w:val="Intense Quote"/>
    <w:basedOn w:val="Normal"/>
    <w:next w:val="Normal"/>
    <w:link w:val="CitationintenseCar"/>
    <w:qFormat w:val="1"/>
    <w:pPr>
      <w:pBdr>
        <w:bottom w:color="1cade4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qFormat w:val="1"/>
    <w:pPr>
      <w:outlineLvl w:val="9"/>
    </w:pPr>
  </w:style>
  <w:style w:type="paragraph" w:styleId="xmsonormal" w:customStyle="1">
    <w:name w:val="x_msonormal"/>
    <w:basedOn w:val="Normal"/>
    <w:qFormat w:val="1"/>
    <w:pPr>
      <w:spacing w:after="280" w:before="280" w:line="240" w:lineRule="auto"/>
    </w:pPr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fr-FR"/>
    </w:rPr>
  </w:style>
  <w:style w:type="paragraph" w:styleId="Contenudecadre" w:customStyle="1">
    <w:name w:val="Contenu de cadre"/>
    <w:basedOn w:val="Normal"/>
    <w:qFormat w:val="1"/>
  </w:style>
  <w:style w:type="paragraph" w:styleId="Contenudetableau" w:customStyle="1">
    <w:name w:val="Contenu de tableau"/>
    <w:basedOn w:val="Normal"/>
    <w:qFormat w:val="1"/>
    <w:pPr>
      <w:widowControl w:val="0"/>
      <w:suppressLineNumbers w:val="1"/>
    </w:pPr>
  </w:style>
  <w:style w:type="table" w:styleId="Grilledutableau">
    <w:name w:val="Table Grid"/>
    <w:basedOn w:val="TableauNormal"/>
    <w:uiPriority w:val="39"/>
    <w:rsid w:val="00A904E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auGrille4-Accentuation1">
    <w:name w:val="Grid Table 4 Accent 1"/>
    <w:basedOn w:val="TableauNormal"/>
    <w:uiPriority w:val="49"/>
    <w:rsid w:val="00F12701"/>
    <w:pPr>
      <w:suppressAutoHyphens w:val="0"/>
    </w:pPr>
    <w:rPr>
      <w:rFonts w:asciiTheme="minorHAnsi" w:cstheme="minorBidi" w:eastAsiaTheme="minorHAnsi" w:hAnsiTheme="minorHAnsi"/>
    </w:rPr>
    <w:tblPr>
      <w:tblStyleRowBandSize w:val="1"/>
      <w:tblStyleColBandSize w:val="1"/>
      <w:tblBorders>
        <w:top w:color="76cdee" w:space="0" w:sz="4" w:themeColor="accent1" w:themeTint="000099" w:val="single"/>
        <w:left w:color="76cdee" w:space="0" w:sz="4" w:themeColor="accent1" w:themeTint="000099" w:val="single"/>
        <w:bottom w:color="76cdee" w:space="0" w:sz="4" w:themeColor="accent1" w:themeTint="000099" w:val="single"/>
        <w:right w:color="76cdee" w:space="0" w:sz="4" w:themeColor="accent1" w:themeTint="000099" w:val="single"/>
        <w:insideH w:color="76cdee" w:space="0" w:sz="4" w:themeColor="accent1" w:themeTint="000099" w:val="single"/>
        <w:insideV w:color="76cdee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cade4" w:space="0" w:sz="4" w:themeColor="accent1" w:val="single"/>
          <w:left w:color="1cade4" w:space="0" w:sz="4" w:themeColor="accent1" w:val="single"/>
          <w:bottom w:color="1cade4" w:space="0" w:sz="4" w:themeColor="accent1" w:val="single"/>
          <w:right w:color="1cade4" w:space="0" w:sz="4" w:themeColor="accent1" w:val="single"/>
          <w:insideH w:space="0" w:sz="0" w:val="nil"/>
          <w:insideV w:space="0" w:sz="0" w:val="nil"/>
        </w:tcBorders>
        <w:shd w:color="auto" w:fill="1cade4" w:themeFill="accent1" w:val="clear"/>
      </w:tcPr>
    </w:tblStylePr>
    <w:tblStylePr w:type="lastRow">
      <w:rPr>
        <w:b w:val="1"/>
        <w:bCs w:val="1"/>
      </w:rPr>
      <w:tblPr/>
      <w:tcPr>
        <w:tcBorders>
          <w:top w:color="1cade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1eef9" w:themeFill="accent1" w:themeFillTint="000033" w:val="clear"/>
      </w:tcPr>
    </w:tblStylePr>
    <w:tblStylePr w:type="band1Horz">
      <w:tblPr/>
      <w:tcPr>
        <w:shd w:color="auto" w:fill="d1eef9" w:themeFill="accent1" w:themeFillTint="000033" w:val="clear"/>
      </w:tcPr>
    </w:tblStylePr>
  </w:style>
  <w:style w:type="table" w:styleId="TableauListe3-Accentuation51" w:customStyle="1">
    <w:name w:val="Tableau Liste 3 - Accentuation 51"/>
    <w:basedOn w:val="TableauNormal"/>
    <w:next w:val="TableauListe3-Accentuation5"/>
    <w:uiPriority w:val="48"/>
    <w:rsid w:val="00AB6438"/>
    <w:pPr>
      <w:suppressAutoHyphens w:val="0"/>
    </w:pPr>
    <w:rPr>
      <w:rFonts w:ascii="Calibri" w:cs="Arial" w:eastAsia="Calibri" w:hAnsi="Calibri"/>
      <w:sz w:val="20"/>
      <w:szCs w:val="20"/>
      <w:lang w:eastAsia="fr-FR"/>
    </w:rPr>
    <w:tblPr>
      <w:tblStyleRowBandSize w:val="1"/>
      <w:tblStyleColBandSize w:val="1"/>
      <w:tblBorders>
        <w:top w:color="4472c4" w:space="0" w:sz="4" w:val="single"/>
        <w:left w:color="4472c4" w:space="0" w:sz="4" w:val="single"/>
        <w:bottom w:color="4472c4" w:space="0" w:sz="4" w:val="single"/>
        <w:right w:color="4472c4" w:space="0" w:sz="4" w:val="single"/>
      </w:tblBorders>
    </w:tblPr>
    <w:tblStylePr w:type="firstRow">
      <w:rPr>
        <w:b w:val="1"/>
        <w:bCs w:val="1"/>
        <w:color w:val="ffffff"/>
      </w:rPr>
      <w:tblPr/>
      <w:tcPr>
        <w:shd w:color="auto" w:fill="4472c4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val="double"/>
        </w:tcBorders>
        <w:shd w:color="auto" w:fill="ffffff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4472c4" w:space="0" w:sz="4" w:val="single"/>
          <w:right w:color="4472c4" w:space="0" w:sz="4" w:val="single"/>
        </w:tcBorders>
      </w:tcPr>
    </w:tblStylePr>
    <w:tblStylePr w:type="band1Horz">
      <w:tblPr/>
      <w:tcPr>
        <w:tcBorders>
          <w:top w:color="4472c4" w:space="0" w:sz="4" w:val="single"/>
          <w:bottom w:color="4472c4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472c4" w:space="0" w:sz="4" w:val="double"/>
          <w:left w:space="0" w:sz="0" w:val="nil"/>
        </w:tcBorders>
      </w:tcPr>
    </w:tblStylePr>
    <w:tblStylePr w:type="swCell">
      <w:tblPr/>
      <w:tcPr>
        <w:tcBorders>
          <w:top w:color="4472c4" w:space="0" w:sz="4" w:val="double"/>
          <w:right w:space="0" w:sz="0"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AB6438"/>
    <w:tblPr>
      <w:tblStyleRowBandSize w:val="1"/>
      <w:tblStyleColBandSize w:val="1"/>
      <w:tblBorders>
        <w:top w:color="3e8853" w:space="0" w:sz="4" w:themeColor="accent5" w:val="single"/>
        <w:left w:color="3e8853" w:space="0" w:sz="4" w:themeColor="accent5" w:val="single"/>
        <w:bottom w:color="3e8853" w:space="0" w:sz="4" w:themeColor="accent5" w:val="single"/>
        <w:right w:color="3e8853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3e8853" w:themeFill="accent5" w:val="clear"/>
      </w:tcPr>
    </w:tblStylePr>
    <w:tblStylePr w:type="lastRow">
      <w:rPr>
        <w:b w:val="1"/>
        <w:bCs w:val="1"/>
      </w:rPr>
      <w:tblPr/>
      <w:tcPr>
        <w:tcBorders>
          <w:top w:color="3e8853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3e8853" w:space="0" w:sz="4" w:themeColor="accent5" w:val="single"/>
          <w:right w:color="3e8853" w:space="0" w:sz="4" w:themeColor="accent5" w:val="single"/>
        </w:tcBorders>
      </w:tcPr>
    </w:tblStylePr>
    <w:tblStylePr w:type="band1Horz">
      <w:tblPr/>
      <w:tcPr>
        <w:tcBorders>
          <w:top w:color="3e8853" w:space="0" w:sz="4" w:themeColor="accent5" w:val="single"/>
          <w:bottom w:color="3e8853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3e8853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3e8853" w:space="0" w:sz="4" w:themeColor="accent5" w:val="double"/>
          <w:right w:space="0" w:sz="0"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 w:val="1"/>
    <w:uiPriority w:val="99"/>
    <w:semiHidden w:val="1"/>
    <w:unhideWhenUsed w:val="1"/>
    <w:rsid w:val="00594799"/>
    <w:pPr>
      <w:pBdr>
        <w:bottom w:color="auto" w:space="1" w:sz="6" w:val="single"/>
      </w:pBdr>
      <w:suppressAutoHyphens w:val="0"/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fr-FR"/>
    </w:rPr>
  </w:style>
  <w:style w:type="character" w:styleId="z-HautduformulaireCar" w:customStyle="1">
    <w:name w:val="z-Haut du formulaire Car"/>
    <w:basedOn w:val="Policepardfaut"/>
    <w:link w:val="z-Hautduformulaire"/>
    <w:uiPriority w:val="99"/>
    <w:semiHidden w:val="1"/>
    <w:rsid w:val="00594799"/>
    <w:rPr>
      <w:rFonts w:ascii="Arial" w:cs="Arial" w:eastAsia="Times New Roman" w:hAnsi="Arial"/>
      <w:vanish w:val="1"/>
      <w:sz w:val="16"/>
      <w:szCs w:val="16"/>
      <w:lang w:eastAsia="fr-FR"/>
    </w:rPr>
  </w:style>
  <w:style w:type="character" w:styleId="currenthithighlight" w:customStyle="1">
    <w:name w:val="currenthithighlight"/>
    <w:basedOn w:val="Policepardfaut"/>
    <w:rsid w:val="007E5597"/>
  </w:style>
  <w:style w:type="character" w:styleId="highlight" w:customStyle="1">
    <w:name w:val="highlight"/>
    <w:basedOn w:val="Policepardfaut"/>
    <w:rsid w:val="00804E53"/>
  </w:style>
  <w:style w:type="paragraph" w:styleId="Subtitle">
    <w:name w:val="Subtitle"/>
    <w:basedOn w:val="Normal"/>
    <w:next w:val="Normal"/>
    <w:pPr/>
    <w:rPr>
      <w:rFonts w:ascii="Twentieth Century" w:cs="Twentieth Century" w:eastAsia="Twentieth Century" w:hAnsi="Twentieth Century"/>
      <w:i w:val="1"/>
      <w:iCs w:val="1"/>
      <w:color w:val="1cade4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mailto:FB@algerietelecom.dz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gobTt1d6OkH80I7VRBhCndt29g==">CgMxLjAyDmgubjEzbG0xNmgwYWtwMg9pZC5hajY2eXBzcjk3YmI4AHIhMXFaYmxtSGt2Um5TeXFZbTdyQzdLbXhZaDBXRVRFTVlw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2025-10-06T15:06:00Z</dcterms:created>
  <dc:creator>user</dc:creator>
</cp:coreProperties>
</file>