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5CEB3">
      <w:pPr>
        <w:overflowPunct/>
        <w:autoSpaceDE/>
        <w:autoSpaceDN/>
        <w:adjustRightInd/>
        <w:spacing w:before="0"/>
        <w:jc w:val="left"/>
        <w:textAlignment w:val="auto"/>
        <w:rPr>
          <w:rFonts w:ascii="Calibri" w:hAnsi="Calibri" w:eastAsia="微软雅黑" w:cs="Calibri"/>
          <w:u w:val="single"/>
          <w:lang w:eastAsia="zh-CN"/>
        </w:rPr>
      </w:pPr>
      <w:bookmarkStart w:id="0" w:name="_Toc44675903"/>
      <w:bookmarkStart w:id="1" w:name="_Toc498066753"/>
      <w:bookmarkStart w:id="2" w:name="_Toc297797177"/>
    </w:p>
    <w:p w14:paraId="37879766">
      <w:pPr>
        <w:overflowPunct/>
        <w:autoSpaceDE/>
        <w:autoSpaceDN/>
        <w:adjustRightInd/>
        <w:spacing w:before="0"/>
        <w:jc w:val="center"/>
        <w:textAlignment w:val="auto"/>
        <w:rPr>
          <w:rFonts w:ascii="Calibri" w:hAnsi="Calibri" w:eastAsia="微软雅黑" w:cs="Calibri"/>
          <w:b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sz w:val="44"/>
          <w:szCs w:val="44"/>
          <w:lang w:val="en-US" w:eastAsia="zh-CN"/>
        </w:rPr>
        <w:t>市场部周报标准流程</w:t>
      </w:r>
    </w:p>
    <w:p w14:paraId="62B5E072">
      <w:pPr>
        <w:overflowPunct/>
        <w:autoSpaceDE/>
        <w:autoSpaceDN/>
        <w:adjustRightInd/>
        <w:spacing w:before="0"/>
        <w:jc w:val="center"/>
        <w:textAlignment w:val="auto"/>
        <w:rPr>
          <w:rFonts w:ascii="Calibri" w:hAnsi="Calibri" w:eastAsia="微软雅黑" w:cs="Calibri"/>
          <w:b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sz w:val="44"/>
          <w:szCs w:val="44"/>
          <w:lang w:val="en-US" w:eastAsia="zh-CN"/>
        </w:rPr>
        <w:t xml:space="preserve">Standard Process for Market Weekly Report </w:t>
      </w:r>
      <w:bookmarkEnd w:id="0"/>
      <w:bookmarkEnd w:id="1"/>
    </w:p>
    <w:bookmarkEnd w:id="2"/>
    <w:p w14:paraId="281F2CD6">
      <w:pPr>
        <w:rPr>
          <w:rFonts w:ascii="Calibri" w:hAnsi="Calibri" w:eastAsia="微软雅黑" w:cs="Calibri"/>
        </w:rPr>
      </w:pPr>
    </w:p>
    <w:p w14:paraId="4F07E615">
      <w:pPr>
        <w:jc w:val="center"/>
        <w:rPr>
          <w:rFonts w:ascii="Calibri" w:hAnsi="Calibri" w:eastAsia="微软雅黑" w:cs="Calibri"/>
          <w:b/>
          <w:sz w:val="28"/>
          <w:szCs w:val="28"/>
          <w:lang w:eastAsia="zh-CN"/>
        </w:rPr>
      </w:pPr>
    </w:p>
    <w:p w14:paraId="63950E47">
      <w:pPr>
        <w:jc w:val="center"/>
        <w:rPr>
          <w:rFonts w:ascii="Calibri" w:hAnsi="Calibri" w:eastAsia="微软雅黑" w:cs="Calibri"/>
          <w:b/>
          <w:sz w:val="28"/>
          <w:szCs w:val="28"/>
          <w:lang w:eastAsia="zh-CN"/>
        </w:rPr>
      </w:pPr>
    </w:p>
    <w:p w14:paraId="7D129362">
      <w:pPr>
        <w:jc w:val="center"/>
        <w:rPr>
          <w:rFonts w:ascii="Calibri" w:hAnsi="Calibri" w:eastAsia="微软雅黑" w:cs="Calibri"/>
          <w:b/>
          <w:sz w:val="28"/>
          <w:szCs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szCs w:val="28"/>
          <w:lang w:eastAsia="zh-CN"/>
        </w:rPr>
        <w:t>版本记录</w:t>
      </w:r>
    </w:p>
    <w:p w14:paraId="4CAD1C0C">
      <w:pPr>
        <w:rPr>
          <w:rFonts w:ascii="Calibri" w:hAnsi="Calibri" w:eastAsia="微软雅黑" w:cs="Calibri"/>
          <w:lang w:eastAsia="zh-CN"/>
        </w:rPr>
      </w:pPr>
    </w:p>
    <w:tbl>
      <w:tblPr>
        <w:tblStyle w:val="25"/>
        <w:tblpPr w:leftFromText="180" w:rightFromText="180" w:vertAnchor="text" w:horzAnchor="margin" w:tblpXSpec="center" w:tblpY="148"/>
        <w:tblW w:w="1031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1082"/>
        <w:gridCol w:w="2433"/>
        <w:gridCol w:w="1430"/>
        <w:gridCol w:w="1774"/>
        <w:gridCol w:w="1987"/>
      </w:tblGrid>
      <w:tr w14:paraId="39754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19E588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  <w:t>发布实施日期</w:t>
            </w:r>
          </w:p>
          <w:p w14:paraId="04875ED6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2A2B2E"/>
                <w:sz w:val="22"/>
                <w:szCs w:val="22"/>
                <w:shd w:val="clear" w:color="auto" w:fill="FFFFFF"/>
              </w:rPr>
              <w:t>Release date</w:t>
            </w:r>
          </w:p>
        </w:tc>
        <w:tc>
          <w:tcPr>
            <w:tcW w:w="10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D802E9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2A2B2E"/>
                <w:sz w:val="22"/>
                <w:szCs w:val="22"/>
                <w:shd w:val="clear" w:color="auto" w:fill="FFFFFF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2A2B2E"/>
                <w:sz w:val="22"/>
                <w:szCs w:val="22"/>
                <w:shd w:val="clear" w:color="auto" w:fill="FFFFFF"/>
                <w:lang w:val="en-US" w:eastAsia="zh-CN"/>
              </w:rPr>
              <w:t>版本</w:t>
            </w:r>
          </w:p>
        </w:tc>
        <w:tc>
          <w:tcPr>
            <w:tcW w:w="2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47C8A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2A2B2E"/>
                <w:sz w:val="22"/>
                <w:szCs w:val="22"/>
                <w:shd w:val="clear" w:color="auto" w:fill="FFFFFF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2A2B2E"/>
                <w:sz w:val="22"/>
                <w:szCs w:val="22"/>
                <w:shd w:val="clear" w:color="auto" w:fill="FFFFFF"/>
                <w:lang w:val="en-US" w:eastAsia="zh-CN"/>
              </w:rPr>
              <w:t>修改内容</w:t>
            </w:r>
          </w:p>
          <w:p w14:paraId="3C5A7015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2A2B2E"/>
                <w:sz w:val="22"/>
                <w:szCs w:val="22"/>
                <w:shd w:val="clear" w:color="auto" w:fill="FFFFFF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2A2B2E"/>
                <w:sz w:val="22"/>
                <w:szCs w:val="22"/>
                <w:shd w:val="clear" w:color="auto" w:fill="FFFFFF"/>
                <w:lang w:val="en-US" w:eastAsia="zh-CN"/>
              </w:rPr>
              <w:t>R</w:t>
            </w:r>
            <w:r>
              <w:rPr>
                <w:rFonts w:hint="eastAsia" w:ascii="Calibri" w:hAnsi="Calibri" w:eastAsia="微软雅黑" w:cs="Calibri"/>
                <w:color w:val="2A2B2E"/>
                <w:sz w:val="22"/>
                <w:szCs w:val="22"/>
                <w:shd w:val="clear" w:color="auto" w:fill="FFFFFF"/>
              </w:rPr>
              <w:t>evise content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0BF1F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  <w:t>编制人</w:t>
            </w:r>
          </w:p>
          <w:p w14:paraId="06386EC1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  <w:t>Editor</w:t>
            </w:r>
          </w:p>
        </w:tc>
        <w:tc>
          <w:tcPr>
            <w:tcW w:w="1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FD967D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  <w:t>审核人</w:t>
            </w:r>
          </w:p>
          <w:p w14:paraId="448311FA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2A2B2E"/>
                <w:sz w:val="22"/>
                <w:szCs w:val="22"/>
                <w:shd w:val="clear" w:color="auto" w:fill="FFFFFF"/>
                <w:lang w:val="en-US" w:eastAsia="zh-CN"/>
              </w:rPr>
              <w:t>A</w:t>
            </w:r>
            <w:r>
              <w:rPr>
                <w:rFonts w:hint="eastAsia" w:ascii="Calibri" w:hAnsi="Calibri" w:eastAsia="微软雅黑" w:cs="Calibri"/>
                <w:color w:val="2A2B2E"/>
                <w:sz w:val="22"/>
                <w:szCs w:val="22"/>
                <w:shd w:val="clear" w:color="auto" w:fill="FFFFFF"/>
              </w:rPr>
              <w:t>uditor</w:t>
            </w: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55721E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  <w:t>过程拥有者批准</w:t>
            </w:r>
          </w:p>
          <w:p w14:paraId="3007E1FC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2A2B2E"/>
                <w:sz w:val="22"/>
                <w:szCs w:val="22"/>
                <w:shd w:val="clear" w:color="auto" w:fill="FFFFFF"/>
              </w:rPr>
              <w:t>Process owner approval</w:t>
            </w:r>
          </w:p>
        </w:tc>
      </w:tr>
      <w:tr w14:paraId="75430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6778AC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2025-08-06</w:t>
            </w:r>
          </w:p>
        </w:tc>
        <w:tc>
          <w:tcPr>
            <w:tcW w:w="10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8D55D9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V.0</w:t>
            </w:r>
          </w:p>
        </w:tc>
        <w:tc>
          <w:tcPr>
            <w:tcW w:w="2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2326DF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新闻周报更新流程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9705F6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Murphy</w:t>
            </w:r>
          </w:p>
        </w:tc>
        <w:tc>
          <w:tcPr>
            <w:tcW w:w="1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CC9D1C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Bela</w:t>
            </w: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426D9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4"/>
                <w:szCs w:val="24"/>
                <w:lang w:val="en-US" w:eastAsia="zh-CN"/>
              </w:rPr>
              <w:t>/</w:t>
            </w:r>
          </w:p>
        </w:tc>
      </w:tr>
      <w:tr w14:paraId="6B1D3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729514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2025-08-26</w:t>
            </w:r>
          </w:p>
        </w:tc>
        <w:tc>
          <w:tcPr>
            <w:tcW w:w="10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DF6CE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V.1</w:t>
            </w:r>
          </w:p>
        </w:tc>
        <w:tc>
          <w:tcPr>
            <w:tcW w:w="2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82352D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价格周报更新流程</w:t>
            </w: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3EA808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Murphy</w:t>
            </w:r>
          </w:p>
        </w:tc>
        <w:tc>
          <w:tcPr>
            <w:tcW w:w="1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C12CF2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Bela</w:t>
            </w: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E62B6F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</w:tr>
      <w:tr w14:paraId="65C86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6AE0C1">
            <w:pPr>
              <w:overflowPunct/>
              <w:autoSpaceDE/>
              <w:autoSpaceDN/>
              <w:adjustRightInd/>
              <w:spacing w:before="0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0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3D340A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023B00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9E40E5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2C7F7C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23A047">
            <w:pPr>
              <w:overflowPunct/>
              <w:autoSpaceDE/>
              <w:autoSpaceDN/>
              <w:adjustRightInd/>
              <w:spacing w:before="0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06186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A31A1C">
            <w:pPr>
              <w:overflowPunct/>
              <w:autoSpaceDE/>
              <w:autoSpaceDN/>
              <w:adjustRightInd/>
              <w:spacing w:before="0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0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2D93F8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9244DF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68E631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53D511">
            <w:pPr>
              <w:overflowPunct/>
              <w:autoSpaceDE/>
              <w:autoSpaceDN/>
              <w:adjustRightInd/>
              <w:spacing w:before="0"/>
              <w:jc w:val="center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21E343">
            <w:pPr>
              <w:overflowPunct/>
              <w:autoSpaceDE/>
              <w:autoSpaceDN/>
              <w:adjustRightInd/>
              <w:spacing w:before="0"/>
              <w:textAlignment w:val="auto"/>
              <w:rPr>
                <w:rFonts w:ascii="Calibri" w:hAnsi="Calibri" w:eastAsia="微软雅黑" w:cs="Calibri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32637F9C">
      <w:pPr>
        <w:rPr>
          <w:rFonts w:ascii="Calibri" w:hAnsi="Calibri" w:eastAsia="微软雅黑" w:cs="Calibri"/>
        </w:rPr>
      </w:pPr>
    </w:p>
    <w:p w14:paraId="47BAF32E">
      <w:pPr>
        <w:overflowPunct/>
        <w:autoSpaceDE/>
        <w:autoSpaceDN/>
        <w:adjustRightInd/>
        <w:spacing w:before="0"/>
        <w:jc w:val="left"/>
        <w:textAlignment w:val="auto"/>
        <w:rPr>
          <w:rFonts w:ascii="Calibri" w:hAnsi="Calibri" w:eastAsia="微软雅黑" w:cs="Calibri"/>
        </w:rPr>
      </w:pPr>
      <w:r>
        <w:rPr>
          <w:rFonts w:ascii="Calibri" w:hAnsi="Calibri" w:eastAsia="微软雅黑" w:cs="Calibri"/>
        </w:rPr>
        <w:br w:type="page"/>
      </w:r>
    </w:p>
    <w:p w14:paraId="375A9F14">
      <w:pPr>
        <w:rPr>
          <w:rFonts w:ascii="Calibri" w:hAnsi="Calibri" w:eastAsia="微软雅黑" w:cs="Calibri"/>
          <w:lang w:eastAsia="zh-CN"/>
        </w:rPr>
      </w:pPr>
    </w:p>
    <w:tbl>
      <w:tblPr>
        <w:tblStyle w:val="2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4"/>
      </w:tblGrid>
      <w:tr w14:paraId="56DD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8" w:type="dxa"/>
          </w:tcPr>
          <w:p w14:paraId="19F2F0FB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1. 周报提交审核与发布时间</w:t>
            </w:r>
          </w:p>
          <w:p w14:paraId="18137CC4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A) 提交审核时间：周五16:00 前；</w:t>
            </w:r>
          </w:p>
          <w:p w14:paraId="3EA62BCB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B) 发布时间：周五17:30 前。</w:t>
            </w:r>
          </w:p>
        </w:tc>
      </w:tr>
      <w:tr w14:paraId="627D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8" w:type="dxa"/>
          </w:tcPr>
          <w:p w14:paraId="67022E79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2. 新闻周报</w:t>
            </w:r>
          </w:p>
          <w:p w14:paraId="20FE9654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 xml:space="preserve">A) 时间 </w:t>
            </w:r>
          </w:p>
          <w:p w14:paraId="61D9E0B7">
            <w:pPr>
              <w:ind w:left="400" w:leftChars="200"/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a). 每则新闻开头必须注明事件发生的精确时间，时间格式为“X月X日“；</w:t>
            </w:r>
          </w:p>
          <w:p w14:paraId="13D6E650">
            <w:pPr>
              <w:ind w:left="400" w:leftChars="200"/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b). 若无精确事件发生时间，须在开头注明，“据X月X日消息”。</w:t>
            </w:r>
          </w:p>
          <w:p w14:paraId="178A9760">
            <w:pPr>
              <w:ind w:left="400" w:leftChars="200"/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</w:p>
          <w:p w14:paraId="44E58B62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B) 信息质量控制</w:t>
            </w:r>
          </w:p>
          <w:p w14:paraId="72D904C4">
            <w:pPr>
              <w:ind w:left="400" w:leftChars="200"/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a). 信息来源：同条信息采优先采用官方消息，其次是权威媒体消息。“知情人士透露”等小道消息，可采纳，但需注明</w:t>
            </w:r>
          </w:p>
          <w:p w14:paraId="2A03BD54">
            <w:pPr>
              <w:ind w:left="400" w:leftChars="200"/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</w:pPr>
          </w:p>
          <w:p w14:paraId="4ED836EB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C) 新闻采集范围</w:t>
            </w:r>
          </w:p>
          <w:p w14:paraId="0E800212">
            <w:pPr>
              <w:pStyle w:val="46"/>
              <w:ind w:left="640"/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</w:p>
          <w:tbl>
            <w:tblPr>
              <w:tblStyle w:val="26"/>
              <w:tblW w:w="0" w:type="auto"/>
              <w:tblInd w:w="6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03"/>
              <w:gridCol w:w="6268"/>
            </w:tblGrid>
            <w:tr w14:paraId="690A9B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</w:tcPr>
                <w:p w14:paraId="26DB63FE">
                  <w:pPr>
                    <w:pStyle w:val="46"/>
                    <w:ind w:left="0"/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  <w:t>关注话题</w:t>
                  </w:r>
                </w:p>
              </w:tc>
              <w:tc>
                <w:tcPr>
                  <w:tcW w:w="6268" w:type="dxa"/>
                </w:tcPr>
                <w:p w14:paraId="4997C47D">
                  <w:pPr>
                    <w:pStyle w:val="46"/>
                    <w:ind w:left="0"/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  <w:t>内容</w:t>
                  </w:r>
                </w:p>
              </w:tc>
            </w:tr>
            <w:tr w14:paraId="47F5E8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  <w:vAlign w:val="center"/>
                </w:tcPr>
                <w:p w14:paraId="5704636B">
                  <w:pPr>
                    <w:pStyle w:val="46"/>
                    <w:ind w:left="0"/>
                    <w:jc w:val="center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政策</w:t>
                  </w:r>
                </w:p>
              </w:tc>
              <w:tc>
                <w:tcPr>
                  <w:tcW w:w="6268" w:type="dxa"/>
                  <w:vAlign w:val="center"/>
                </w:tcPr>
                <w:p w14:paraId="5E66D297">
                  <w:pPr>
                    <w:pStyle w:val="46"/>
                    <w:ind w:left="0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欧洲、美国、中国的新能源（尤其锂电）的政策动态，包括关税、补贴、限制等</w:t>
                  </w:r>
                </w:p>
              </w:tc>
            </w:tr>
            <w:tr w14:paraId="4AD8D0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  <w:vAlign w:val="center"/>
                </w:tcPr>
                <w:p w14:paraId="3FF45A4E">
                  <w:pPr>
                    <w:pStyle w:val="46"/>
                    <w:ind w:left="0"/>
                    <w:jc w:val="center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新能源汽车</w:t>
                  </w:r>
                </w:p>
              </w:tc>
              <w:tc>
                <w:tcPr>
                  <w:tcW w:w="6268" w:type="dxa"/>
                  <w:vAlign w:val="center"/>
                </w:tcPr>
                <w:p w14:paraId="1C393642">
                  <w:pPr>
                    <w:pStyle w:val="46"/>
                    <w:ind w:left="0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1）定义：乘用车、商用车、工业用车；2）锂电池布局；3）重大变动如收并购等</w:t>
                  </w:r>
                </w:p>
              </w:tc>
            </w:tr>
            <w:tr w14:paraId="5DF8CC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  <w:vAlign w:val="center"/>
                </w:tcPr>
                <w:p w14:paraId="4FE3DF63">
                  <w:pPr>
                    <w:pStyle w:val="46"/>
                    <w:ind w:left="0"/>
                    <w:jc w:val="center"/>
                    <w:rPr>
                      <w:rFonts w:hint="eastAsia" w:ascii="Calibri" w:hAnsi="Calibri" w:eastAsia="微软雅黑" w:cs="Calibri"/>
                      <w:sz w:val="21"/>
                      <w:szCs w:val="21"/>
                      <w:highlight w:val="yellow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highlight w:val="yellow"/>
                      <w:lang w:eastAsia="zh-CN"/>
                    </w:rPr>
                    <w:t>新兴应用领域</w:t>
                  </w:r>
                </w:p>
              </w:tc>
              <w:tc>
                <w:tcPr>
                  <w:tcW w:w="6268" w:type="dxa"/>
                  <w:vAlign w:val="center"/>
                </w:tcPr>
                <w:p w14:paraId="65BEA625">
                  <w:pPr>
                    <w:rPr>
                      <w:rFonts w:hint="eastAsia" w:ascii="Calibri" w:hAnsi="Calibri" w:eastAsia="微软雅黑" w:cs="Calibri"/>
                      <w:sz w:val="21"/>
                      <w:szCs w:val="21"/>
                      <w:highlight w:val="yellow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highlight w:val="yellow"/>
                      <w:lang w:eastAsia="zh-CN"/>
                    </w:rPr>
                    <w:t>目前关注的新兴应用领域为机器人、eVTOL</w:t>
                  </w:r>
                </w:p>
              </w:tc>
            </w:tr>
            <w:tr w14:paraId="56223A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  <w:vAlign w:val="center"/>
                </w:tcPr>
                <w:p w14:paraId="20AE4320">
                  <w:pPr>
                    <w:pStyle w:val="46"/>
                    <w:ind w:left="0"/>
                    <w:jc w:val="center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储能系统</w:t>
                  </w:r>
                </w:p>
              </w:tc>
              <w:tc>
                <w:tcPr>
                  <w:tcW w:w="6268" w:type="dxa"/>
                  <w:vAlign w:val="center"/>
                </w:tcPr>
                <w:p w14:paraId="4C9411F1">
                  <w:pPr>
                    <w:pStyle w:val="46"/>
                    <w:numPr>
                      <w:ilvl w:val="0"/>
                      <w:numId w:val="4"/>
                    </w:num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储能市场需求追踪，如AI、数据中心等刺激需求增长；</w:t>
                  </w:r>
                </w:p>
                <w:p w14:paraId="5851D341">
                  <w:pPr>
                    <w:pStyle w:val="46"/>
                    <w:numPr>
                      <w:ilvl w:val="0"/>
                      <w:numId w:val="4"/>
                    </w:num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储能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系统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龙头企业重大变动，如收并购</w:t>
                  </w:r>
                </w:p>
              </w:tc>
            </w:tr>
            <w:tr w14:paraId="6CA898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  <w:vAlign w:val="center"/>
                </w:tcPr>
                <w:p w14:paraId="7A192171">
                  <w:pPr>
                    <w:pStyle w:val="46"/>
                    <w:ind w:left="0"/>
                    <w:jc w:val="center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锂电池</w:t>
                  </w:r>
                </w:p>
              </w:tc>
              <w:tc>
                <w:tcPr>
                  <w:tcW w:w="6268" w:type="dxa"/>
                  <w:vAlign w:val="center"/>
                </w:tcPr>
                <w:p w14:paraId="3124D267">
                  <w:pPr>
                    <w:pStyle w:val="46"/>
                    <w:ind w:left="0"/>
                    <w:rPr>
                      <w:rFonts w:hint="default"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1）海外产能变动，重点欧美；2）全球订单签订情况，包括汽车和储能；3）重大技术变革，如专利发布；4）重大商业变动，如上市、收并购；5）推出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颠覆性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电池产品</w:t>
                  </w:r>
                </w:p>
              </w:tc>
            </w:tr>
            <w:tr w14:paraId="3233BE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  <w:vAlign w:val="center"/>
                </w:tcPr>
                <w:p w14:paraId="4EEAB6AA">
                  <w:pPr>
                    <w:pStyle w:val="46"/>
                    <w:ind w:left="0"/>
                    <w:jc w:val="center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固态电池</w:t>
                  </w:r>
                </w:p>
              </w:tc>
              <w:tc>
                <w:tcPr>
                  <w:tcW w:w="6268" w:type="dxa"/>
                  <w:vAlign w:val="center"/>
                </w:tcPr>
                <w:p w14:paraId="1D6E7964">
                  <w:pPr>
                    <w:pStyle w:val="46"/>
                    <w:ind w:left="0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重大进展跟踪，如确定技术路线、研发突破、试产进展、量产进展、订单</w:t>
                  </w:r>
                </w:p>
              </w:tc>
            </w:tr>
            <w:tr w14:paraId="202B19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  <w:vAlign w:val="center"/>
                </w:tcPr>
                <w:p w14:paraId="062BB7A3">
                  <w:pPr>
                    <w:pStyle w:val="46"/>
                    <w:ind w:left="0"/>
                    <w:jc w:val="center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电解液</w:t>
                  </w:r>
                </w:p>
              </w:tc>
              <w:tc>
                <w:tcPr>
                  <w:tcW w:w="6268" w:type="dxa"/>
                  <w:vAlign w:val="center"/>
                </w:tcPr>
                <w:p w14:paraId="563090AD">
                  <w:pPr>
                    <w:pStyle w:val="46"/>
                    <w:ind w:left="0"/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1）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欧美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产能变动，包括电解液、锂盐、溶剂、添加剂等；2）全球订单签订情况；3）重大技术变革，如专利发布；4）重大商业变动，如上市、收并购；5）推出产品</w:t>
                  </w:r>
                </w:p>
              </w:tc>
            </w:tr>
            <w:tr w14:paraId="0A7D3C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03" w:type="dxa"/>
                  <w:vAlign w:val="center"/>
                </w:tcPr>
                <w:p w14:paraId="4618E727">
                  <w:pPr>
                    <w:pStyle w:val="46"/>
                    <w:ind w:left="0"/>
                    <w:jc w:val="center"/>
                    <w:rPr>
                      <w:rFonts w:hint="default"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单壁碳纳米管</w:t>
                  </w:r>
                </w:p>
              </w:tc>
              <w:tc>
                <w:tcPr>
                  <w:tcW w:w="6268" w:type="dxa"/>
                  <w:vAlign w:val="center"/>
                </w:tcPr>
                <w:p w14:paraId="79D5647E">
                  <w:pPr>
                    <w:pStyle w:val="46"/>
                    <w:ind w:left="0"/>
                    <w:rPr>
                      <w:rFonts w:hint="default"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1）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全球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产能变动，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比如新项目投产、通过客户验证、提交环评等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；2）全球订单签订情况；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3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）重大技术变革</w:t>
                  </w:r>
                </w:p>
              </w:tc>
            </w:tr>
          </w:tbl>
          <w:p w14:paraId="4644CBDD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</w:p>
          <w:p w14:paraId="11954C2C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eastAsia="zh-CN"/>
              </w:rPr>
              <w:t>D) 采集渠道</w:t>
            </w:r>
          </w:p>
          <w:p w14:paraId="4C276D54">
            <w:pPr>
              <w:ind w:left="400" w:leftChars="200"/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目前主要分为两个信息采集渠道：官方网站和二手信息。二手包括公众号、数据机构公开新闻和newsletter。</w:t>
            </w:r>
          </w:p>
          <w:p w14:paraId="321E7966">
            <w:pPr>
              <w:ind w:left="400" w:leftChars="200"/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</w:pPr>
          </w:p>
          <w:tbl>
            <w:tblPr>
              <w:tblStyle w:val="26"/>
              <w:tblW w:w="0" w:type="auto"/>
              <w:tblInd w:w="40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36"/>
              <w:gridCol w:w="3238"/>
              <w:gridCol w:w="3238"/>
            </w:tblGrid>
            <w:tr w14:paraId="180E8D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shd w:val="clear" w:color="auto" w:fill="BEBEBE" w:themeFill="background1" w:themeFillShade="BF"/>
                  <w:vAlign w:val="center"/>
                </w:tcPr>
                <w:p w14:paraId="3C4B33E5">
                  <w:pPr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val="en-US" w:eastAsia="zh-CN"/>
                    </w:rPr>
                    <w:t>公司官方网站</w:t>
                  </w:r>
                </w:p>
              </w:tc>
              <w:tc>
                <w:tcPr>
                  <w:tcW w:w="3238" w:type="dxa"/>
                  <w:shd w:val="clear" w:color="auto" w:fill="BEBEBE" w:themeFill="background1" w:themeFillShade="BF"/>
                  <w:vAlign w:val="center"/>
                </w:tcPr>
                <w:p w14:paraId="2C12B481">
                  <w:pPr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val="en-US" w:eastAsia="zh-CN"/>
                    </w:rPr>
                    <w:t>网站</w:t>
                  </w:r>
                </w:p>
              </w:tc>
              <w:tc>
                <w:tcPr>
                  <w:tcW w:w="3238" w:type="dxa"/>
                  <w:shd w:val="clear" w:color="auto" w:fill="BEBEBE" w:themeFill="background1" w:themeFillShade="BF"/>
                  <w:vAlign w:val="center"/>
                </w:tcPr>
                <w:p w14:paraId="3F5E19BF">
                  <w:pPr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val="en-US" w:eastAsia="zh-CN"/>
                    </w:rPr>
                    <w:t>备注</w:t>
                  </w:r>
                </w:p>
              </w:tc>
            </w:tr>
            <w:tr w14:paraId="528B98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shd w:val="clear" w:color="auto" w:fill="F1F1F1" w:themeFill="background1" w:themeFillShade="F2"/>
                  <w:vAlign w:val="center"/>
                </w:tcPr>
                <w:p w14:paraId="0EE3C1B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电池类</w:t>
                  </w:r>
                </w:p>
              </w:tc>
            </w:tr>
            <w:tr w14:paraId="062102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506E2651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Tesla</w:t>
                  </w:r>
                </w:p>
              </w:tc>
              <w:tc>
                <w:tcPr>
                  <w:tcW w:w="3238" w:type="dxa"/>
                  <w:vAlign w:val="center"/>
                </w:tcPr>
                <w:p w14:paraId="2CC0C965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"https://ir.tesla.com/" \l "quarterly-disclosure"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Tesla 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AFAE49B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不用查看，只有财报数据</w:t>
                  </w:r>
                </w:p>
              </w:tc>
            </w:tr>
            <w:tr w14:paraId="751B5E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3B567ED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PowerCo</w:t>
                  </w:r>
                </w:p>
              </w:tc>
              <w:tc>
                <w:tcPr>
                  <w:tcW w:w="3238" w:type="dxa"/>
                  <w:vAlign w:val="center"/>
                </w:tcPr>
                <w:p w14:paraId="004D94F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"https://www.powerco.de/en/news.html"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PowerCo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3B598A4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最新更新：2024/12/18</w:t>
                  </w:r>
                </w:p>
              </w:tc>
            </w:tr>
            <w:tr w14:paraId="188715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35F3014B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CATL</w:t>
                  </w:r>
                </w:p>
              </w:tc>
              <w:tc>
                <w:tcPr>
                  <w:tcW w:w="3238" w:type="dxa"/>
                  <w:vAlign w:val="center"/>
                </w:tcPr>
                <w:p w14:paraId="4685707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"https://www.catl.com/news/"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CATL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083947E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40B736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114CA64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LGES</w:t>
                  </w:r>
                </w:p>
              </w:tc>
              <w:tc>
                <w:tcPr>
                  <w:tcW w:w="3238" w:type="dxa"/>
                  <w:vAlign w:val="center"/>
                </w:tcPr>
                <w:p w14:paraId="44948CF2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"https://news.lgensol.com/company-news/press-releases/"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LGES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11F009D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6C4FB9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4D4EA4B3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SK on</w:t>
                  </w:r>
                </w:p>
              </w:tc>
              <w:tc>
                <w:tcPr>
                  <w:tcW w:w="3238" w:type="dxa"/>
                  <w:vAlign w:val="center"/>
                </w:tcPr>
                <w:p w14:paraId="5D11510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"http://eng.sk-on.com/company/press.asp"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 SK on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C5F3A62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1EAB9E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6A88DC94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S</w:t>
                  </w:r>
                  <w: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amsung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 xml:space="preserve"> SDI</w:t>
                  </w:r>
                </w:p>
              </w:tc>
              <w:tc>
                <w:tcPr>
                  <w:tcW w:w="3238" w:type="dxa"/>
                  <w:vAlign w:val="center"/>
                </w:tcPr>
                <w:p w14:paraId="1F82F8E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"https://www.samsungsdi.com/sdi-now/sdi-news/list.html"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SDI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E9469CB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729205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5BD30D5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Panasonic</w:t>
                  </w:r>
                </w:p>
              </w:tc>
              <w:tc>
                <w:tcPr>
                  <w:tcW w:w="3238" w:type="dxa"/>
                  <w:vAlign w:val="center"/>
                </w:tcPr>
                <w:p w14:paraId="4AB3F3A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"https://news.panasonic.com/global/articles/search/category/all/recent?category=all&amp;type=press"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Panasonic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4977C8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664CFD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43199093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AESC</w:t>
                  </w:r>
                </w:p>
              </w:tc>
              <w:tc>
                <w:tcPr>
                  <w:tcW w:w="3238" w:type="dxa"/>
                  <w:vAlign w:val="center"/>
                </w:tcPr>
                <w:p w14:paraId="46CC3F8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"https://www.aesc-group.com/en/news.html"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AESC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24AEF07F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0EA3DE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314B5ED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Gotion</w:t>
                  </w:r>
                </w:p>
              </w:tc>
              <w:tc>
                <w:tcPr>
                  <w:tcW w:w="3238" w:type="dxa"/>
                  <w:vAlign w:val="center"/>
                </w:tcPr>
                <w:p w14:paraId="33833C06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"https://www.gotion.com.cn/news/company/"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Gotion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4CA26FB2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7A0BE7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shd w:val="clear" w:color="auto" w:fill="F1F1F1" w:themeFill="background1" w:themeFillShade="F2"/>
                  <w:vAlign w:val="center"/>
                </w:tcPr>
                <w:p w14:paraId="6EBA3EE6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电解液类</w:t>
                  </w:r>
                </w:p>
              </w:tc>
            </w:tr>
            <w:tr w14:paraId="3A37EE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004C30B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天赐材料Tinci</w:t>
                  </w:r>
                </w:p>
              </w:tc>
              <w:tc>
                <w:tcPr>
                  <w:tcW w:w="3238" w:type="dxa"/>
                  <w:vAlign w:val="center"/>
                </w:tcPr>
                <w:p w14:paraId="05F6937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"https://www.tinci.com/zxzx/"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Tinci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5F82DBD2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官网资讯都是转自公众号，直接看公众号即可</w:t>
                  </w:r>
                </w:p>
              </w:tc>
            </w:tr>
            <w:tr w14:paraId="569905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02963F9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比亚迪 BYD</w:t>
                  </w:r>
                </w:p>
              </w:tc>
              <w:tc>
                <w:tcPr>
                  <w:tcW w:w="3238" w:type="dxa"/>
                  <w:vAlign w:val="center"/>
                </w:tcPr>
                <w:p w14:paraId="591327E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"https://www.byd.com/en/news-list"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BYD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4EEF8A4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024555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66E0F5C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新宙邦 CAPCHEM</w:t>
                  </w:r>
                </w:p>
              </w:tc>
              <w:tc>
                <w:tcPr>
                  <w:tcW w:w="3238" w:type="dxa"/>
                  <w:vAlign w:val="center"/>
                </w:tcPr>
                <w:p w14:paraId="5F4226D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"https://www.capchem.com/news/2/"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CAPCHEM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07D7F10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3521FA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731FA88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瑞泰新材 RTXC</w:t>
                  </w:r>
                </w:p>
              </w:tc>
              <w:tc>
                <w:tcPr>
                  <w:tcW w:w="3238" w:type="dxa"/>
                  <w:vAlign w:val="center"/>
                </w:tcPr>
                <w:p w14:paraId="20918A81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"http://www.rtxc.com/?list_19/"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RTXC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01CFBE9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国泰华荣子公司；</w:t>
                  </w:r>
                </w:p>
                <w:p w14:paraId="0A7B3EB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最新更新：2025/4/27</w:t>
                  </w:r>
                </w:p>
              </w:tc>
            </w:tr>
            <w:tr w14:paraId="5DD257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433B6028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忆恩科 Enchem</w:t>
                  </w:r>
                </w:p>
              </w:tc>
              <w:tc>
                <w:tcPr>
                  <w:tcW w:w="3238" w:type="dxa"/>
                  <w:vAlign w:val="center"/>
                </w:tcPr>
                <w:p w14:paraId="57E4A86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"https://www.enchem.net/eng/sub.php?menukey=508"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Enchem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A1DA1B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不用查看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，一直没有资讯</w:t>
                  </w:r>
                </w:p>
              </w:tc>
            </w:tr>
            <w:tr w14:paraId="597D7E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23F1A97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昆仑新材 KunlunChem</w:t>
                  </w:r>
                </w:p>
              </w:tc>
              <w:tc>
                <w:tcPr>
                  <w:tcW w:w="3238" w:type="dxa"/>
                  <w:vAlign w:val="center"/>
                </w:tcPr>
                <w:p w14:paraId="09001A2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"https://www.kunlunchem.com.cn/news/2/"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KunlunChem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63F8C3D4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28AB25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1DC19762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威海财金新材料 Weihaicaijin</w:t>
                  </w:r>
                </w:p>
              </w:tc>
              <w:tc>
                <w:tcPr>
                  <w:tcW w:w="3238" w:type="dxa"/>
                  <w:vAlign w:val="center"/>
                </w:tcPr>
                <w:p w14:paraId="26D9548F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/</w:t>
                  </w:r>
                </w:p>
              </w:tc>
              <w:tc>
                <w:tcPr>
                  <w:tcW w:w="3238" w:type="dxa"/>
                  <w:vAlign w:val="center"/>
                </w:tcPr>
                <w:p w14:paraId="7A8DB023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无官网</w:t>
                  </w:r>
                </w:p>
              </w:tc>
            </w:tr>
            <w:tr w14:paraId="7CE461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31909848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珠海赛纬 Smooth Way</w:t>
                  </w:r>
                </w:p>
              </w:tc>
              <w:tc>
                <w:tcPr>
                  <w:tcW w:w="3238" w:type="dxa"/>
                  <w:vAlign w:val="center"/>
                </w:tcPr>
                <w:p w14:paraId="132ED7C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"http://www.sw-zh.com/index.html"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Smooth Way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07199E8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上一次更新：2022/8/17</w:t>
                  </w:r>
                </w:p>
              </w:tc>
            </w:tr>
            <w:tr w14:paraId="164920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34922DD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三菱化学 Mitsubishi Chemical</w:t>
                  </w:r>
                </w:p>
              </w:tc>
              <w:tc>
                <w:tcPr>
                  <w:tcW w:w="3238" w:type="dxa"/>
                  <w:vAlign w:val="center"/>
                </w:tcPr>
                <w:p w14:paraId="66F5B678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"https://www.mcgc.com/english/news_release/index.html"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 Mitsubishi Chemical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B66153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正常更新，需采集</w:t>
                  </w:r>
                </w:p>
              </w:tc>
            </w:tr>
            <w:tr w14:paraId="323EF3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77C43D8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法恩莱特 Finelyte</w:t>
                  </w:r>
                </w:p>
              </w:tc>
              <w:tc>
                <w:tcPr>
                  <w:tcW w:w="3238" w:type="dxa"/>
                  <w:vAlign w:val="center"/>
                </w:tcPr>
                <w:p w14:paraId="3E785AA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"https://finelyte.com/category/new/company_news/"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Finelyte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2A3AF111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上一次更新：2024/12/01</w:t>
                  </w:r>
                </w:p>
              </w:tc>
            </w:tr>
            <w:tr w14:paraId="2FA84C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77A6E348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Soulbrain</w:t>
                  </w:r>
                </w:p>
              </w:tc>
              <w:tc>
                <w:tcPr>
                  <w:tcW w:w="3238" w:type="dxa"/>
                  <w:vAlign w:val="center"/>
                </w:tcPr>
                <w:p w14:paraId="586A39D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"https://www.soulbrain.co.kr/en/board/board.php?bo_table=brochure"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Soulbrain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E3AC51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不用查看，无新闻板块</w:t>
                  </w:r>
                </w:p>
              </w:tc>
            </w:tr>
            <w:tr w14:paraId="4FBA39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294F3EB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东华 Dongwha</w:t>
                  </w:r>
                </w:p>
              </w:tc>
              <w:tc>
                <w:tcPr>
                  <w:tcW w:w="3238" w:type="dxa"/>
                  <w:vAlign w:val="center"/>
                </w:tcPr>
                <w:p w14:paraId="6024AAC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"https://www.dongwhaelectrolyte.com/en/main/main.asp"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Dongwha Electrolyte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9B92B2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不用查看，无新闻板块</w:t>
                  </w:r>
                </w:p>
              </w:tc>
            </w:tr>
            <w:tr w14:paraId="15D287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5104A86B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 xml:space="preserve">Duksan /DS </w:t>
                  </w:r>
                  <w: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Electera</w:t>
                  </w:r>
                </w:p>
              </w:tc>
              <w:tc>
                <w:tcPr>
                  <w:tcW w:w="3238" w:type="dxa"/>
                  <w:vAlign w:val="center"/>
                </w:tcPr>
                <w:p w14:paraId="3ABDF31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"https://www.dselectera.com/cn/board/board.php?bo_table=press"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DS Electera News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24240B4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正常更新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，需查看</w:t>
                  </w:r>
                </w:p>
              </w:tc>
            </w:tr>
            <w:tr w14:paraId="472EFE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36" w:type="dxa"/>
                  <w:vAlign w:val="center"/>
                </w:tcPr>
                <w:p w14:paraId="0D9C42C2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中央硝子 Central Glass Co. (CGC)</w:t>
                  </w:r>
                </w:p>
              </w:tc>
              <w:tc>
                <w:tcPr>
                  <w:tcW w:w="3238" w:type="dxa"/>
                  <w:vAlign w:val="center"/>
                </w:tcPr>
                <w:p w14:paraId="3EB9BDB4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"https://www.cgc-jp.com/ir/" </w:instrText>
                  </w:r>
                  <w:r>
                    <w:fldChar w:fldCharType="separate"/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Central Glass Co. IR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3238" w:type="dxa"/>
                  <w:vAlign w:val="center"/>
                </w:tcPr>
                <w:p w14:paraId="76AF893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val="en-US" w:eastAsia="zh-CN"/>
                    </w:rPr>
                    <w:t>不用查看，没有新闻板块</w:t>
                  </w:r>
                </w:p>
              </w:tc>
            </w:tr>
          </w:tbl>
          <w:p w14:paraId="603ABFEC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</w:p>
          <w:tbl>
            <w:tblPr>
              <w:tblStyle w:val="26"/>
              <w:tblW w:w="0" w:type="auto"/>
              <w:tblInd w:w="40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42"/>
              <w:gridCol w:w="6443"/>
            </w:tblGrid>
            <w:tr w14:paraId="001C93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  <w:shd w:val="clear" w:color="auto" w:fill="BEBEBE" w:themeFill="background1" w:themeFillShade="BF"/>
                </w:tcPr>
                <w:p w14:paraId="314A73DD">
                  <w:pPr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  <w:t>公司官方公众号</w:t>
                  </w:r>
                </w:p>
              </w:tc>
              <w:tc>
                <w:tcPr>
                  <w:tcW w:w="6443" w:type="dxa"/>
                  <w:shd w:val="clear" w:color="auto" w:fill="BEBEBE" w:themeFill="background1" w:themeFillShade="BF"/>
                </w:tcPr>
                <w:p w14:paraId="104BA235">
                  <w:pPr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  <w:t>备注</w:t>
                  </w:r>
                </w:p>
              </w:tc>
            </w:tr>
            <w:tr w14:paraId="239B50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85" w:type="dxa"/>
                  <w:gridSpan w:val="2"/>
                </w:tcPr>
                <w:p w14:paraId="66FD6F14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电池类</w:t>
                  </w:r>
                </w:p>
              </w:tc>
            </w:tr>
            <w:tr w14:paraId="0700DD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</w:tcPr>
                <w:p w14:paraId="634808F5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Tesla</w:t>
                  </w:r>
                </w:p>
              </w:tc>
              <w:tc>
                <w:tcPr>
                  <w:tcW w:w="6443" w:type="dxa"/>
                </w:tcPr>
                <w:p w14:paraId="5D8C7B64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正常更新，需查看</w:t>
                  </w:r>
                </w:p>
              </w:tc>
            </w:tr>
            <w:tr w14:paraId="01B258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</w:tcPr>
                <w:p w14:paraId="474E69C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CATL</w:t>
                  </w:r>
                </w:p>
              </w:tc>
              <w:tc>
                <w:tcPr>
                  <w:tcW w:w="6443" w:type="dxa"/>
                </w:tcPr>
                <w:p w14:paraId="263D8064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正常更新，需查看</w:t>
                  </w:r>
                </w:p>
              </w:tc>
            </w:tr>
            <w:tr w14:paraId="226336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</w:tcPr>
                <w:p w14:paraId="3206AB8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AESC</w:t>
                  </w:r>
                </w:p>
              </w:tc>
              <w:tc>
                <w:tcPr>
                  <w:tcW w:w="6443" w:type="dxa"/>
                </w:tcPr>
                <w:p w14:paraId="44EF7D8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正常更新，需查看</w:t>
                  </w:r>
                </w:p>
              </w:tc>
            </w:tr>
            <w:tr w14:paraId="602C01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</w:tcPr>
                <w:p w14:paraId="38824691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Gotion</w:t>
                  </w:r>
                </w:p>
              </w:tc>
              <w:tc>
                <w:tcPr>
                  <w:tcW w:w="6443" w:type="dxa"/>
                </w:tcPr>
                <w:p w14:paraId="78DA0CD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正常更新，需查看</w:t>
                  </w:r>
                </w:p>
              </w:tc>
            </w:tr>
            <w:tr w14:paraId="3D10CD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85" w:type="dxa"/>
                  <w:gridSpan w:val="2"/>
                </w:tcPr>
                <w:p w14:paraId="2ADCC22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电解液类</w:t>
                  </w:r>
                </w:p>
              </w:tc>
            </w:tr>
            <w:tr w14:paraId="173C63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</w:tcPr>
                <w:p w14:paraId="48A59BD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天赐材料 Tinci </w:t>
                  </w:r>
                </w:p>
              </w:tc>
              <w:tc>
                <w:tcPr>
                  <w:tcW w:w="6443" w:type="dxa"/>
                </w:tcPr>
                <w:p w14:paraId="1458B817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官网消息转自微信公众号；正常更新，需查看</w:t>
                  </w:r>
                </w:p>
              </w:tc>
            </w:tr>
            <w:tr w14:paraId="3F2F59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</w:tcPr>
                <w:p w14:paraId="749666E8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新宙邦 CAPCHEM </w:t>
                  </w:r>
                </w:p>
              </w:tc>
              <w:tc>
                <w:tcPr>
                  <w:tcW w:w="6443" w:type="dxa"/>
                </w:tcPr>
                <w:p w14:paraId="48F6CD5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正常更新，需查看</w:t>
                  </w:r>
                </w:p>
              </w:tc>
            </w:tr>
            <w:tr w14:paraId="31C210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</w:tcPr>
                <w:p w14:paraId="6AB51F8F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昆仑新材 KunlunChem</w:t>
                  </w:r>
                </w:p>
              </w:tc>
              <w:tc>
                <w:tcPr>
                  <w:tcW w:w="6443" w:type="dxa"/>
                </w:tcPr>
                <w:p w14:paraId="4188A22B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正常更新，需查看</w:t>
                  </w:r>
                </w:p>
              </w:tc>
            </w:tr>
            <w:tr w14:paraId="34D274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42" w:type="dxa"/>
                </w:tcPr>
                <w:p w14:paraId="5F0059C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法恩莱特 Finelyte</w:t>
                  </w:r>
                </w:p>
              </w:tc>
              <w:tc>
                <w:tcPr>
                  <w:tcW w:w="6443" w:type="dxa"/>
                </w:tcPr>
                <w:p w14:paraId="2B81FCF8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正常更新，需查看</w:t>
                  </w:r>
                </w:p>
              </w:tc>
            </w:tr>
            <w:tr w14:paraId="4A2A5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685" w:type="dxa"/>
                  <w:gridSpan w:val="2"/>
                </w:tcPr>
                <w:p w14:paraId="68E23C26">
                  <w:pPr>
                    <w:rPr>
                      <w:rFonts w:ascii="Calibri" w:hAnsi="Calibri" w:eastAsia="微软雅黑" w:cs="Calibri"/>
                      <w:i/>
                      <w:iCs/>
                      <w:sz w:val="13"/>
                      <w:szCs w:val="13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i/>
                      <w:iCs/>
                      <w:sz w:val="13"/>
                      <w:szCs w:val="13"/>
                      <w:lang w:eastAsia="zh-CN"/>
                    </w:rPr>
                    <w:t>此列表包含所有开通微信公众号的目标企业。</w:t>
                  </w:r>
                </w:p>
              </w:tc>
            </w:tr>
          </w:tbl>
          <w:p w14:paraId="294DB9FC">
            <w:pPr>
              <w:rPr>
                <w:rFonts w:ascii="Calibri" w:hAnsi="Calibri" w:eastAsia="微软雅黑" w:cs="Calibri"/>
                <w:sz w:val="21"/>
                <w:szCs w:val="21"/>
                <w:lang w:eastAsia="zh-CN"/>
              </w:rPr>
            </w:pPr>
          </w:p>
          <w:tbl>
            <w:tblPr>
              <w:tblStyle w:val="26"/>
              <w:tblW w:w="0" w:type="auto"/>
              <w:tblInd w:w="40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14"/>
              <w:gridCol w:w="3435"/>
              <w:gridCol w:w="2963"/>
            </w:tblGrid>
            <w:tr w14:paraId="1B3F83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4" w:type="dxa"/>
                  <w:shd w:val="clear" w:color="auto" w:fill="BEBEBE" w:themeFill="background1" w:themeFillShade="BF"/>
                  <w:vAlign w:val="center"/>
                </w:tcPr>
                <w:p w14:paraId="6F6CA809">
                  <w:pPr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  <w:t>媒体</w:t>
                  </w:r>
                </w:p>
              </w:tc>
              <w:tc>
                <w:tcPr>
                  <w:tcW w:w="3435" w:type="dxa"/>
                  <w:shd w:val="clear" w:color="auto" w:fill="BEBEBE" w:themeFill="background1" w:themeFillShade="BF"/>
                  <w:vAlign w:val="center"/>
                </w:tcPr>
                <w:p w14:paraId="36775689">
                  <w:pPr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  <w:t>网站</w:t>
                  </w:r>
                </w:p>
              </w:tc>
              <w:tc>
                <w:tcPr>
                  <w:tcW w:w="2963" w:type="dxa"/>
                  <w:shd w:val="clear" w:color="auto" w:fill="BEBEBE" w:themeFill="background1" w:themeFillShade="BF"/>
                  <w:vAlign w:val="center"/>
                </w:tcPr>
                <w:p w14:paraId="4BE8558C">
                  <w:pPr>
                    <w:jc w:val="center"/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  <w:t>备注</w:t>
                  </w:r>
                </w:p>
              </w:tc>
            </w:tr>
            <w:tr w14:paraId="63EDB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shd w:val="clear" w:color="auto" w:fill="F1F1F1" w:themeFill="background1" w:themeFillShade="F2"/>
                  <w:vAlign w:val="center"/>
                </w:tcPr>
                <w:p w14:paraId="048B028E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新闻网站</w:t>
                  </w:r>
                </w:p>
              </w:tc>
            </w:tr>
            <w:tr w14:paraId="1F340D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4" w:type="dxa"/>
                  <w:vAlign w:val="center"/>
                </w:tcPr>
                <w:p w14:paraId="6EA7E5B6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Electrive</w:t>
                  </w:r>
                </w:p>
              </w:tc>
              <w:tc>
                <w:tcPr>
                  <w:tcW w:w="3435" w:type="dxa"/>
                  <w:vAlign w:val="center"/>
                </w:tcPr>
                <w:p w14:paraId="53E58CB7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"https://www.electrive.com/category/battery-fuel-cell/"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Electrive - Battery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  <w:p w14:paraId="7A63434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"https://www.electrive.com/category/automobile/"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Electrive - EV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  <w:p w14:paraId="3A24574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"https://www.electrive.com/category/politics/"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Electrive - Polictics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2963" w:type="dxa"/>
                  <w:vAlign w:val="center"/>
                </w:tcPr>
                <w:p w14:paraId="0865B692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主要关注电池、电车、政策三个版块的新闻</w:t>
                  </w:r>
                </w:p>
              </w:tc>
            </w:tr>
            <w:tr w14:paraId="75BFF4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4" w:type="dxa"/>
                  <w:vAlign w:val="center"/>
                </w:tcPr>
                <w:p w14:paraId="2B059CED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MarkLines</w:t>
                  </w:r>
                </w:p>
              </w:tc>
              <w:tc>
                <w:tcPr>
                  <w:tcW w:w="3435" w:type="dxa"/>
                  <w:vAlign w:val="center"/>
                </w:tcPr>
                <w:p w14:paraId="09D0365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"https://www.marklines.com/cn/news/tag/181/ev-battery"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MarkLines - Battery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  <w:p w14:paraId="69055AF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"https://www.marklines.com/cn/topics_by_theme/232/ev"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MarkLines - EV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  <w:p w14:paraId="2F54B13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"https://www.marklines.com/cn/news/region-policy"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MarkLines - Politics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  <w:p w14:paraId="1161F35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"https://www.marklines.com/cn/news"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MarkLines - Homepage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2963" w:type="dxa"/>
                  <w:vAlign w:val="center"/>
                </w:tcPr>
                <w:p w14:paraId="144C47D3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主要关注电池、电车、政策及新闻主页</w:t>
                  </w:r>
                </w:p>
              </w:tc>
            </w:tr>
            <w:tr w14:paraId="27A2CA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4" w:type="dxa"/>
                  <w:vAlign w:val="center"/>
                </w:tcPr>
                <w:p w14:paraId="60239F54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Benchmark</w:t>
                  </w:r>
                </w:p>
              </w:tc>
              <w:tc>
                <w:tcPr>
                  <w:tcW w:w="3435" w:type="dxa"/>
                  <w:vAlign w:val="center"/>
                </w:tcPr>
                <w:p w14:paraId="17195ADC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"https://source.benchmarkminerals.com/category/batteries"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Benchmark - Battery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  <w:p w14:paraId="0152CF39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"https://source.benchmarkminerals.com/category/new-energy"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Benchmark - New Energy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  <w:p w14:paraId="51A45020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fldChar w:fldCharType="begin"/>
                  </w:r>
                  <w:r>
                    <w:instrText xml:space="preserve"> HYPERLINK "https://source.benchmarkminerals.com/category/geopolitics" </w:instrText>
                  </w:r>
                  <w:r>
                    <w:fldChar w:fldCharType="separate"/>
                  </w:r>
                  <w:r>
                    <w:rPr>
                      <w:rStyle w:val="31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Benchmark - Geopolitics</w:t>
                  </w:r>
                  <w:r>
                    <w:rPr>
                      <w:rStyle w:val="34"/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fldChar w:fldCharType="end"/>
                  </w:r>
                </w:p>
              </w:tc>
              <w:tc>
                <w:tcPr>
                  <w:tcW w:w="2963" w:type="dxa"/>
                  <w:vAlign w:val="center"/>
                </w:tcPr>
                <w:p w14:paraId="470833C6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主要关注电池、新能源和地缘政治三个版块的新闻</w:t>
                  </w:r>
                </w:p>
              </w:tc>
            </w:tr>
            <w:tr w14:paraId="0595B0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4" w:type="dxa"/>
                  <w:vAlign w:val="center"/>
                </w:tcPr>
                <w:p w14:paraId="2E1CF84A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Battery </w:t>
                  </w:r>
                  <w: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–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 News</w:t>
                  </w:r>
                </w:p>
              </w:tc>
              <w:tc>
                <w:tcPr>
                  <w:tcW w:w="3435" w:type="dxa"/>
                  <w:vAlign w:val="center"/>
                </w:tcPr>
                <w:p w14:paraId="286DFF6F">
                  <w:r>
                    <w:fldChar w:fldCharType="begin"/>
                  </w:r>
                  <w:r>
                    <w:instrText xml:space="preserve"> HYPERLINK "https://battery-news.de/en/home/" </w:instrText>
                  </w:r>
                  <w:r>
                    <w:fldChar w:fldCharType="separate"/>
                  </w:r>
                  <w:r>
                    <w:rPr>
                      <w:rStyle w:val="31"/>
                    </w:rPr>
                    <w:t>Battery - News</w:t>
                  </w:r>
                  <w:r>
                    <w:rPr>
                      <w:rStyle w:val="34"/>
                    </w:rPr>
                    <w:fldChar w:fldCharType="end"/>
                  </w:r>
                </w:p>
              </w:tc>
              <w:tc>
                <w:tcPr>
                  <w:tcW w:w="2963" w:type="dxa"/>
                  <w:vAlign w:val="center"/>
                </w:tcPr>
                <w:p w14:paraId="1EED02EB">
                  <w:p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/</w:t>
                  </w:r>
                </w:p>
              </w:tc>
            </w:tr>
            <w:tr w14:paraId="39D4F6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14" w:type="dxa"/>
                  <w:vAlign w:val="center"/>
                </w:tcPr>
                <w:p w14:paraId="097AC4BE">
                  <w:pPr>
                    <w:spacing w:before="0"/>
                    <w:rPr>
                      <w:rFonts w:hint="eastAsia" w:ascii="微软雅黑" w:hAnsi="微软雅黑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Calibri"/>
                      <w:sz w:val="21"/>
                      <w:szCs w:val="21"/>
                      <w:lang w:eastAsia="zh-CN"/>
                    </w:rPr>
                    <w:t>二手搜索</w:t>
                  </w:r>
                </w:p>
              </w:tc>
              <w:tc>
                <w:tcPr>
                  <w:tcW w:w="3435" w:type="dxa"/>
                  <w:vAlign w:val="center"/>
                </w:tcPr>
                <w:p w14:paraId="45DA5CE7">
                  <w:pPr>
                    <w:spacing w:before="0"/>
                    <w:rPr>
                      <w:rFonts w:hint="eastAsia" w:ascii="微软雅黑" w:hAnsi="微软雅黑" w:eastAsia="微软雅黑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/>
                      <w:lang w:eastAsia="zh-CN"/>
                    </w:rPr>
                    <w:t>需手动搜集enchem, soulbrain, dongwah, CGC, panasonic等几家电解液企业的新闻，因为官网很少更新。先以英文为主</w:t>
                  </w:r>
                </w:p>
              </w:tc>
              <w:tc>
                <w:tcPr>
                  <w:tcW w:w="2963" w:type="dxa"/>
                  <w:vAlign w:val="center"/>
                </w:tcPr>
                <w:p w14:paraId="7F83CBE1">
                  <w:pPr>
                    <w:rPr>
                      <w:rFonts w:ascii="Calibri" w:hAnsi="Calibri" w:eastAsia="微软雅黑" w:cs="Calibri"/>
                      <w:color w:val="EE0000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color w:val="EE0000"/>
                      <w:sz w:val="21"/>
                      <w:szCs w:val="21"/>
                      <w:lang w:eastAsia="zh-CN"/>
                    </w:rPr>
                    <w:t>卡点：英文新闻，比本地语言（韩语和日语）少很多</w:t>
                  </w:r>
                </w:p>
                <w:p w14:paraId="652AE661">
                  <w:pP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color w:val="EE0000"/>
                      <w:sz w:val="21"/>
                      <w:szCs w:val="21"/>
                      <w:lang w:eastAsia="zh-CN"/>
                    </w:rPr>
                    <w:t>目前暂定Pulse为韩国新闻采集渠道</w:t>
                  </w:r>
                </w:p>
              </w:tc>
            </w:tr>
            <w:tr w14:paraId="6A2EE6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shd w:val="clear" w:color="auto" w:fill="F1F1F1" w:themeFill="background1" w:themeFillShade="F2"/>
                </w:tcPr>
                <w:p w14:paraId="28D95A18">
                  <w:pPr>
                    <w:rPr>
                      <w:rFonts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b/>
                      <w:bCs/>
                      <w:sz w:val="21"/>
                      <w:szCs w:val="21"/>
                      <w:lang w:eastAsia="zh-CN"/>
                    </w:rPr>
                    <w:t>微信公众号</w:t>
                  </w:r>
                </w:p>
              </w:tc>
            </w:tr>
            <w:tr w14:paraId="1044D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vAlign w:val="center"/>
                </w:tcPr>
                <w:p w14:paraId="0F4CC8B4">
                  <w:pPr>
                    <w:pStyle w:val="46"/>
                    <w:numPr>
                      <w:ilvl w:val="0"/>
                      <w:numId w:val="5"/>
                    </w:num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>高工锂电-每日速递板块</w:t>
                  </w:r>
                </w:p>
              </w:tc>
            </w:tr>
            <w:tr w14:paraId="0D8E0B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vAlign w:val="center"/>
                </w:tcPr>
                <w:p w14:paraId="768CAB21">
                  <w:pPr>
                    <w:pStyle w:val="46"/>
                    <w:numPr>
                      <w:ilvl w:val="0"/>
                      <w:numId w:val="5"/>
                    </w:num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高工储能 </w:t>
                  </w:r>
                  <w: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–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 每日速递</w:t>
                  </w:r>
                </w:p>
              </w:tc>
            </w:tr>
            <w:tr w14:paraId="2B85C8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vAlign w:val="center"/>
                </w:tcPr>
                <w:p w14:paraId="6C343FF0">
                  <w:pPr>
                    <w:pStyle w:val="46"/>
                    <w:numPr>
                      <w:ilvl w:val="0"/>
                      <w:numId w:val="5"/>
                    </w:num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起点锂电 </w:t>
                  </w:r>
                  <w: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–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 每日推送</w:t>
                  </w:r>
                </w:p>
              </w:tc>
            </w:tr>
            <w:tr w14:paraId="010F5F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vAlign w:val="center"/>
                </w:tcPr>
                <w:p w14:paraId="5F4BFBFF">
                  <w:pPr>
                    <w:pStyle w:val="46"/>
                    <w:numPr>
                      <w:ilvl w:val="0"/>
                      <w:numId w:val="5"/>
                    </w:num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我的电池网 </w:t>
                  </w:r>
                  <w: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–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 电解液周报、正极材料周报、每日推送</w:t>
                  </w:r>
                </w:p>
              </w:tc>
            </w:tr>
            <w:tr w14:paraId="2EE1B3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vAlign w:val="center"/>
                </w:tcPr>
                <w:p w14:paraId="02812128">
                  <w:pPr>
                    <w:pStyle w:val="46"/>
                    <w:numPr>
                      <w:ilvl w:val="0"/>
                      <w:numId w:val="5"/>
                    </w:num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动力电池网 </w:t>
                  </w:r>
                  <w: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–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 每日推送</w:t>
                  </w:r>
                </w:p>
              </w:tc>
            </w:tr>
            <w:tr w14:paraId="23EA9C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12" w:type="dxa"/>
                  <w:gridSpan w:val="3"/>
                  <w:vAlign w:val="center"/>
                </w:tcPr>
                <w:p w14:paraId="1DB7815D">
                  <w:pPr>
                    <w:pStyle w:val="46"/>
                    <w:numPr>
                      <w:ilvl w:val="0"/>
                      <w:numId w:val="5"/>
                    </w:numP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鑫椤锂电 </w:t>
                  </w:r>
                  <w:r>
                    <w:rPr>
                      <w:rFonts w:ascii="Calibri" w:hAnsi="Calibri" w:eastAsia="微软雅黑" w:cs="Calibri"/>
                      <w:sz w:val="21"/>
                      <w:szCs w:val="21"/>
                      <w:lang w:eastAsia="zh-CN"/>
                    </w:rPr>
                    <w:t>–</w:t>
                  </w:r>
                  <w:r>
                    <w:rPr>
                      <w:rFonts w:hint="eastAsia" w:ascii="Calibri" w:hAnsi="Calibri" w:eastAsia="微软雅黑" w:cs="Calibri"/>
                      <w:sz w:val="21"/>
                      <w:szCs w:val="21"/>
                      <w:lang w:eastAsia="zh-CN"/>
                    </w:rPr>
                    <w:t xml:space="preserve"> 每日推送</w:t>
                  </w:r>
                </w:p>
              </w:tc>
            </w:tr>
          </w:tbl>
          <w:p w14:paraId="610E47BF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</w:p>
          <w:p w14:paraId="5959EDF2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E) 新闻周报更新流程图</w:t>
            </w:r>
          </w:p>
          <w:p w14:paraId="207AC140">
            <w:pPr>
              <w:jc w:val="center"/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drawing>
                <wp:inline distT="0" distB="0" distL="0" distR="0">
                  <wp:extent cx="2552700" cy="6355080"/>
                  <wp:effectExtent l="0" t="0" r="0" b="7620"/>
                  <wp:docPr id="109179315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793154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778" cy="6357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83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8" w:type="dxa"/>
          </w:tcPr>
          <w:p w14:paraId="1E705499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2．价格周报内容</w:t>
            </w:r>
          </w:p>
          <w:p w14:paraId="42A37088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A) 数据来源</w:t>
            </w:r>
          </w:p>
          <w:p w14:paraId="481D14FF">
            <w:pPr>
              <w:ind w:left="200" w:leftChars="100"/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目前价格表中共涉及35个上中下游产品价格，其中13个价格数据来自有色网，17个价格来自百川盈孚，5个数据来自GEO内部的采购报价。</w:t>
            </w:r>
          </w:p>
          <w:p w14:paraId="078C2C01">
            <w:pP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</w:pPr>
          </w:p>
          <w:p w14:paraId="465CD33E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B) 数据获取</w:t>
            </w:r>
          </w:p>
          <w:p w14:paraId="33E850BA">
            <w:pPr>
              <w:ind w:left="400" w:leftChars="200"/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a). 使用插件导入数据：有色网和百川盈孚数据库中已建立周报组合并且都提供Excel插件，周报负责人需使用插件将数据导入到周报文件中。</w:t>
            </w:r>
          </w:p>
          <w:p w14:paraId="13AB9F3F">
            <w:pPr>
              <w:ind w:left="400" w:leftChars="200"/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b). GEO内部提供的数据将由采购部以Excel文件的形式每两周提供一次。</w:t>
            </w:r>
          </w:p>
          <w:p w14:paraId="12B33066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</w:p>
          <w:p w14:paraId="637B7E98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C)  图表更新</w:t>
            </w:r>
          </w:p>
          <w:p w14:paraId="5A4B5D6F">
            <w:pPr>
              <w:ind w:left="200" w:leftChars="100"/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数据更新后，需对图表进行更新。目前除乙烯和乙炔的时间轴范围为1年，其他产品的时间轴范围为2周。</w:t>
            </w:r>
          </w:p>
          <w:p w14:paraId="0B59137A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</w:p>
          <w:p w14:paraId="6965E99B">
            <w:pP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  <w:t>D) 价格周报更新流程图</w:t>
            </w:r>
          </w:p>
          <w:p w14:paraId="7EA177F1">
            <w:pPr>
              <w:jc w:val="center"/>
              <w:rPr>
                <w:rFonts w:hint="eastAsia" w:ascii="Calibri" w:hAnsi="Calibri" w:eastAsia="微软雅黑" w:cs="Calibri"/>
                <w:sz w:val="21"/>
                <w:szCs w:val="21"/>
                <w:lang w:val="en-US" w:eastAsia="zh-CN"/>
              </w:rPr>
            </w:pPr>
            <w:r>
              <w:rPr>
                <w:rFonts w:ascii="Calibri" w:hAnsi="Calibri" w:eastAsia="微软雅黑" w:cs="Calibri"/>
                <w:sz w:val="21"/>
                <w:szCs w:val="21"/>
                <w:lang w:val="en-US" w:eastAsia="zh-CN"/>
              </w:rPr>
              <w:drawing>
                <wp:inline distT="0" distB="0" distL="0" distR="0">
                  <wp:extent cx="2377440" cy="5370830"/>
                  <wp:effectExtent l="0" t="0" r="0" b="0"/>
                  <wp:docPr id="607036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03656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846" cy="5393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4EF2B3">
      <w:pPr>
        <w:rPr>
          <w:rFonts w:ascii="Calibri" w:hAnsi="Calibri" w:eastAsia="微软雅黑" w:cs="Calibri"/>
          <w:lang w:eastAsia="zh-CN"/>
        </w:rPr>
      </w:pPr>
    </w:p>
    <w:sectPr>
      <w:headerReference r:id="rId6" w:type="first"/>
      <w:headerReference r:id="rId4" w:type="default"/>
      <w:footerReference r:id="rId7" w:type="default"/>
      <w:headerReference r:id="rId5" w:type="even"/>
      <w:pgSz w:w="11907" w:h="16840"/>
      <w:pgMar w:top="1276" w:right="567" w:bottom="1134" w:left="992" w:header="737" w:footer="567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BCD8FB5A-157F-454F-9EF1-CAB6F24F5BB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12F74226-3655-41E5-9A53-38FBDC8D9210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E1B9037D-548A-49DB-9B3F-28961E7F27FE}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5"/>
      <w:tblW w:w="10429" w:type="dxa"/>
      <w:tblInd w:w="0" w:type="dxa"/>
      <w:tblLayout w:type="autofit"/>
      <w:tblCellMar>
        <w:top w:w="0" w:type="dxa"/>
        <w:left w:w="70" w:type="dxa"/>
        <w:bottom w:w="0" w:type="dxa"/>
        <w:right w:w="70" w:type="dxa"/>
      </w:tblCellMar>
    </w:tblPr>
    <w:tblGrid>
      <w:gridCol w:w="3898"/>
      <w:gridCol w:w="2693"/>
      <w:gridCol w:w="3838"/>
    </w:tblGrid>
    <w:tr w14:paraId="60D62192">
      <w:tblPrEx>
        <w:tblCellMar>
          <w:top w:w="0" w:type="dxa"/>
          <w:left w:w="70" w:type="dxa"/>
          <w:bottom w:w="0" w:type="dxa"/>
          <w:right w:w="70" w:type="dxa"/>
        </w:tblCellMar>
      </w:tblPrEx>
      <w:tc>
        <w:tcPr>
          <w:tcW w:w="3898" w:type="dxa"/>
          <w:tcBorders>
            <w:top w:val="single" w:color="auto" w:sz="4" w:space="0"/>
          </w:tcBorders>
        </w:tcPr>
        <w:p w14:paraId="58819379">
          <w:pPr>
            <w:ind w:right="1134"/>
            <w:jc w:val="left"/>
            <w:rPr>
              <w:b/>
              <w:sz w:val="16"/>
              <w:lang w:val="en-US" w:eastAsia="zh-CN"/>
            </w:rPr>
          </w:pPr>
          <w:r>
            <w:rPr>
              <w:b/>
              <w:sz w:val="16"/>
              <w:lang w:val="en-US"/>
            </w:rPr>
            <w:t xml:space="preserve">For internal use only / </w:t>
          </w:r>
          <w:r>
            <w:rPr>
              <w:b/>
              <w:sz w:val="16"/>
              <w:lang w:val="en-US"/>
            </w:rPr>
            <w:br w:type="textWrapping"/>
          </w:r>
          <w:r>
            <w:rPr>
              <w:rFonts w:hint="eastAsia"/>
              <w:b/>
              <w:sz w:val="16"/>
              <w:lang w:eastAsia="zh-CN"/>
            </w:rPr>
            <w:t>仅供内部使用</w:t>
          </w:r>
        </w:p>
      </w:tc>
      <w:tc>
        <w:tcPr>
          <w:tcW w:w="2693" w:type="dxa"/>
          <w:tcBorders>
            <w:top w:val="single" w:color="auto" w:sz="4" w:space="0"/>
          </w:tcBorders>
        </w:tcPr>
        <w:p w14:paraId="7E036963">
          <w:pPr>
            <w:pStyle w:val="18"/>
            <w:ind w:right="1134"/>
            <w:rPr>
              <w:b/>
              <w:sz w:val="16"/>
              <w:lang w:val="en-US"/>
            </w:rPr>
          </w:pPr>
        </w:p>
      </w:tc>
      <w:tc>
        <w:tcPr>
          <w:tcW w:w="3838" w:type="dxa"/>
          <w:tcBorders>
            <w:top w:val="single" w:color="auto" w:sz="4" w:space="0"/>
          </w:tcBorders>
        </w:tcPr>
        <w:p w14:paraId="63EEF266">
          <w:pPr>
            <w:pStyle w:val="18"/>
            <w:tabs>
              <w:tab w:val="clear" w:pos="4536"/>
            </w:tabs>
            <w:wordWrap w:val="0"/>
            <w:jc w:val="right"/>
            <w:rPr>
              <w:sz w:val="16"/>
              <w:szCs w:val="16"/>
              <w:lang w:val="en-US" w:eastAsia="zh-CN"/>
            </w:rPr>
          </w:pPr>
          <w:r>
            <w:rPr>
              <w:b/>
              <w:sz w:val="16"/>
              <w:szCs w:val="16"/>
              <w:lang w:val="en-US"/>
            </w:rPr>
            <w:t xml:space="preserve">Page </w:t>
          </w:r>
          <w:r>
            <w:rPr>
              <w:b/>
              <w:sz w:val="16"/>
              <w:szCs w:val="16"/>
            </w:rPr>
            <w:fldChar w:fldCharType="begin"/>
          </w:r>
          <w:r>
            <w:rPr>
              <w:b/>
              <w:sz w:val="16"/>
              <w:szCs w:val="16"/>
              <w:lang w:val="en-US"/>
            </w:rPr>
            <w:instrText xml:space="preserve"> PAGE  \* MERGEFORMAT </w:instrText>
          </w:r>
          <w:r>
            <w:rPr>
              <w:b/>
              <w:sz w:val="16"/>
              <w:szCs w:val="16"/>
            </w:rPr>
            <w:fldChar w:fldCharType="separate"/>
          </w:r>
          <w:r>
            <w:rPr>
              <w:b/>
              <w:sz w:val="16"/>
              <w:szCs w:val="16"/>
              <w:lang w:val="en-US"/>
            </w:rPr>
            <w:t>3</w:t>
          </w:r>
          <w:r>
            <w:rPr>
              <w:b/>
              <w:sz w:val="16"/>
              <w:szCs w:val="16"/>
            </w:rPr>
            <w:fldChar w:fldCharType="end"/>
          </w:r>
          <w:r>
            <w:rPr>
              <w:b/>
              <w:sz w:val="16"/>
              <w:szCs w:val="16"/>
              <w:lang w:val="en-US"/>
            </w:rPr>
            <w:t xml:space="preserve"> of </w:t>
          </w:r>
          <w:r>
            <w:rPr>
              <w:b/>
              <w:sz w:val="16"/>
              <w:szCs w:val="16"/>
              <w:lang w:val="en-US"/>
            </w:rPr>
            <w:fldChar w:fldCharType="begin"/>
          </w:r>
          <w:r>
            <w:rPr>
              <w:b/>
              <w:sz w:val="16"/>
              <w:szCs w:val="16"/>
              <w:lang w:val="en-US"/>
            </w:rPr>
            <w:instrText xml:space="preserve"> NUMPAGES  \* MERGEFORMAT </w:instrText>
          </w:r>
          <w:r>
            <w:rPr>
              <w:b/>
              <w:sz w:val="16"/>
              <w:szCs w:val="16"/>
              <w:lang w:val="en-US"/>
            </w:rPr>
            <w:fldChar w:fldCharType="separate"/>
          </w:r>
          <w:r>
            <w:rPr>
              <w:b/>
              <w:sz w:val="16"/>
              <w:szCs w:val="16"/>
              <w:lang w:val="en-US"/>
            </w:rPr>
            <w:t>4</w:t>
          </w:r>
          <w:r>
            <w:rPr>
              <w:b/>
              <w:sz w:val="16"/>
              <w:szCs w:val="16"/>
              <w:lang w:val="en-US"/>
            </w:rPr>
            <w:fldChar w:fldCharType="end"/>
          </w:r>
          <w:r>
            <w:rPr>
              <w:rFonts w:hint="eastAsia"/>
              <w:sz w:val="16"/>
              <w:szCs w:val="16"/>
              <w:lang w:val="en-US" w:eastAsia="zh-CN"/>
            </w:rPr>
            <w:t xml:space="preserve"> / </w:t>
          </w:r>
          <w:r>
            <w:rPr>
              <w:rFonts w:hint="eastAsia"/>
              <w:b/>
              <w:sz w:val="16"/>
              <w:szCs w:val="16"/>
              <w:lang w:eastAsia="zh-CN"/>
            </w:rPr>
            <w:t>第</w:t>
          </w:r>
          <w:r>
            <w:rPr>
              <w:b/>
              <w:sz w:val="16"/>
              <w:szCs w:val="16"/>
              <w:lang w:val="en-US"/>
            </w:rPr>
            <w:t xml:space="preserve"> </w:t>
          </w:r>
          <w:r>
            <w:rPr>
              <w:b/>
              <w:sz w:val="16"/>
              <w:szCs w:val="16"/>
            </w:rPr>
            <w:fldChar w:fldCharType="begin"/>
          </w:r>
          <w:r>
            <w:rPr>
              <w:b/>
              <w:sz w:val="16"/>
              <w:szCs w:val="16"/>
              <w:lang w:val="en-US"/>
            </w:rPr>
            <w:instrText xml:space="preserve"> PAGE  \* MERGEFORMAT </w:instrText>
          </w:r>
          <w:r>
            <w:rPr>
              <w:b/>
              <w:sz w:val="16"/>
              <w:szCs w:val="16"/>
            </w:rPr>
            <w:fldChar w:fldCharType="separate"/>
          </w:r>
          <w:r>
            <w:rPr>
              <w:b/>
              <w:sz w:val="16"/>
              <w:szCs w:val="16"/>
              <w:lang w:val="en-US"/>
            </w:rPr>
            <w:t>3</w:t>
          </w:r>
          <w:r>
            <w:rPr>
              <w:b/>
              <w:sz w:val="16"/>
              <w:szCs w:val="16"/>
            </w:rPr>
            <w:fldChar w:fldCharType="end"/>
          </w:r>
          <w:r>
            <w:rPr>
              <w:b/>
              <w:sz w:val="16"/>
              <w:szCs w:val="16"/>
              <w:lang w:val="en-US"/>
            </w:rPr>
            <w:t xml:space="preserve"> </w:t>
          </w:r>
          <w:r>
            <w:rPr>
              <w:rFonts w:hint="eastAsia"/>
              <w:b/>
              <w:sz w:val="16"/>
              <w:szCs w:val="16"/>
              <w:lang w:eastAsia="zh-CN"/>
            </w:rPr>
            <w:t>页</w:t>
          </w:r>
          <w:r>
            <w:rPr>
              <w:rFonts w:hint="eastAsia"/>
              <w:b/>
              <w:sz w:val="16"/>
              <w:szCs w:val="16"/>
              <w:lang w:val="en-US" w:eastAsia="zh-CN"/>
            </w:rPr>
            <w:t xml:space="preserve"> </w:t>
          </w:r>
          <w:r>
            <w:rPr>
              <w:rFonts w:hint="eastAsia"/>
              <w:b/>
              <w:sz w:val="16"/>
              <w:szCs w:val="16"/>
              <w:lang w:eastAsia="zh-CN"/>
            </w:rPr>
            <w:t>共</w:t>
          </w:r>
          <w:r>
            <w:rPr>
              <w:b/>
              <w:sz w:val="16"/>
              <w:szCs w:val="16"/>
              <w:lang w:val="en-US"/>
            </w:rPr>
            <w:t xml:space="preserve"> </w:t>
          </w:r>
          <w:r>
            <w:rPr>
              <w:b/>
              <w:sz w:val="16"/>
              <w:szCs w:val="16"/>
              <w:lang w:val="en-US"/>
            </w:rPr>
            <w:fldChar w:fldCharType="begin"/>
          </w:r>
          <w:r>
            <w:rPr>
              <w:b/>
              <w:sz w:val="16"/>
              <w:szCs w:val="16"/>
              <w:lang w:val="en-US"/>
            </w:rPr>
            <w:instrText xml:space="preserve"> NUMPAGES  \* MERGEFORMAT </w:instrText>
          </w:r>
          <w:r>
            <w:rPr>
              <w:b/>
              <w:sz w:val="16"/>
              <w:szCs w:val="16"/>
              <w:lang w:val="en-US"/>
            </w:rPr>
            <w:fldChar w:fldCharType="separate"/>
          </w:r>
          <w:r>
            <w:rPr>
              <w:b/>
              <w:sz w:val="16"/>
              <w:szCs w:val="16"/>
              <w:lang w:val="en-US"/>
            </w:rPr>
            <w:t>4</w:t>
          </w:r>
          <w:r>
            <w:rPr>
              <w:b/>
              <w:sz w:val="16"/>
              <w:szCs w:val="16"/>
              <w:lang w:val="en-US"/>
            </w:rPr>
            <w:fldChar w:fldCharType="end"/>
          </w:r>
          <w:r>
            <w:rPr>
              <w:rFonts w:hint="eastAsia"/>
              <w:sz w:val="16"/>
              <w:szCs w:val="16"/>
              <w:lang w:val="en-US" w:eastAsia="zh-CN"/>
            </w:rPr>
            <w:t xml:space="preserve"> </w:t>
          </w:r>
          <w:r>
            <w:rPr>
              <w:rFonts w:hint="eastAsia"/>
              <w:sz w:val="16"/>
              <w:szCs w:val="16"/>
              <w:lang w:eastAsia="zh-CN"/>
            </w:rPr>
            <w:t>页</w:t>
          </w:r>
        </w:p>
      </w:tc>
    </w:tr>
    <w:tr w14:paraId="7ACD2A7F">
      <w:tblPrEx>
        <w:tblCellMar>
          <w:top w:w="0" w:type="dxa"/>
          <w:left w:w="70" w:type="dxa"/>
          <w:bottom w:w="0" w:type="dxa"/>
          <w:right w:w="70" w:type="dxa"/>
        </w:tblCellMar>
      </w:tblPrEx>
      <w:tc>
        <w:tcPr>
          <w:tcW w:w="3898" w:type="dxa"/>
        </w:tcPr>
        <w:p w14:paraId="11D2DB2C">
          <w:pPr>
            <w:pStyle w:val="18"/>
            <w:ind w:right="1134"/>
            <w:rPr>
              <w:sz w:val="16"/>
              <w:szCs w:val="16"/>
              <w:lang w:eastAsia="zh-CN"/>
            </w:rPr>
          </w:pPr>
          <w:r>
            <w:rPr>
              <w:b/>
              <w:bCs/>
              <w:sz w:val="16"/>
              <w:szCs w:val="16"/>
            </w:rPr>
            <w:t>©</w:t>
          </w:r>
          <w:r>
            <w:rPr>
              <w:sz w:val="16"/>
              <w:szCs w:val="16"/>
            </w:rPr>
            <w:t xml:space="preserve"> </w:t>
          </w:r>
          <w:r>
            <w:rPr>
              <w:rFonts w:hint="eastAsia"/>
              <w:color w:val="92D050"/>
              <w:sz w:val="16"/>
              <w:szCs w:val="16"/>
              <w:lang w:eastAsia="zh-CN"/>
            </w:rPr>
            <w:t>GEOCN</w:t>
          </w:r>
        </w:p>
      </w:tc>
      <w:tc>
        <w:tcPr>
          <w:tcW w:w="2693" w:type="dxa"/>
        </w:tcPr>
        <w:p w14:paraId="612EE77F">
          <w:pPr>
            <w:pStyle w:val="18"/>
            <w:ind w:right="1134"/>
          </w:pPr>
        </w:p>
      </w:tc>
      <w:tc>
        <w:tcPr>
          <w:tcW w:w="3838" w:type="dxa"/>
        </w:tcPr>
        <w:p w14:paraId="5F73DC09">
          <w:pPr>
            <w:pStyle w:val="18"/>
            <w:wordWrap w:val="0"/>
            <w:ind w:right="-70"/>
            <w:jc w:val="right"/>
            <w:rPr>
              <w:rFonts w:cs="Arial"/>
              <w:lang w:val="en-US"/>
            </w:rPr>
          </w:pPr>
          <w:r>
            <w:rPr>
              <w:rFonts w:cs="Arial"/>
              <w:sz w:val="12"/>
              <w:szCs w:val="12"/>
              <w:lang w:val="en-US"/>
            </w:rPr>
            <w:t xml:space="preserve"> </w:t>
          </w:r>
          <w:r>
            <w:rPr>
              <w:rFonts w:hint="eastAsia" w:cs="Arial"/>
              <w:sz w:val="12"/>
              <w:szCs w:val="12"/>
              <w:lang w:val="en-US" w:eastAsia="zh-CN"/>
            </w:rPr>
            <w:t>GEO-QA-A003-E0</w:t>
          </w:r>
          <w:r>
            <w:rPr>
              <w:rFonts w:cs="Arial"/>
              <w:sz w:val="12"/>
              <w:szCs w:val="12"/>
              <w:lang w:val="en-US"/>
            </w:rPr>
            <w:t xml:space="preserve"> – </w:t>
          </w:r>
          <w:r>
            <w:rPr>
              <w:rFonts w:hint="eastAsia" w:cs="Arial"/>
              <w:sz w:val="12"/>
              <w:szCs w:val="12"/>
              <w:lang w:val="en-US"/>
            </w:rPr>
            <w:t xml:space="preserve">Procedure </w:t>
          </w:r>
          <w:r>
            <w:rPr>
              <w:rFonts w:cs="Arial"/>
              <w:sz w:val="12"/>
              <w:szCs w:val="12"/>
              <w:lang w:val="en-US"/>
            </w:rPr>
            <w:t>Template</w:t>
          </w:r>
        </w:p>
      </w:tc>
    </w:tr>
  </w:tbl>
  <w:p w14:paraId="2BE43330">
    <w:pPr>
      <w:rPr>
        <w:sz w:val="4"/>
        <w:szCs w:val="4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B8DAA">
    <w:pPr>
      <w:pStyle w:val="19"/>
      <w:pBdr>
        <w:bottom w:val="single" w:color="auto" w:sz="4" w:space="1"/>
      </w:pBdr>
      <w:tabs>
        <w:tab w:val="left" w:pos="6739"/>
        <w:tab w:val="right" w:pos="10348"/>
        <w:tab w:val="clear" w:pos="4536"/>
        <w:tab w:val="clear" w:pos="9072"/>
      </w:tabs>
      <w:spacing w:before="0"/>
      <w:rPr>
        <w:b/>
        <w:sz w:val="24"/>
        <w:szCs w:val="24"/>
      </w:rPr>
    </w:pPr>
    <w:r>
      <w:rPr>
        <w:b/>
        <w:sz w:val="24"/>
        <w:szCs w:val="24"/>
      </w:rPr>
      <w:pict>
        <v:shape id="WordPictureWatermark901541408" o:spid="_x0000_s1027" o:spt="75" type="#_x0000_t75" style="position:absolute;left:0pt;height:214.8pt;width:517.2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GEO"/>
          <o:lock v:ext="edit" aspectratio="t"/>
        </v:shape>
      </w:pict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</w:p>
  <w:p w14:paraId="06E6718D">
    <w:pPr>
      <w:pStyle w:val="19"/>
      <w:pBdr>
        <w:bottom w:val="single" w:color="auto" w:sz="4" w:space="1"/>
      </w:pBdr>
      <w:tabs>
        <w:tab w:val="left" w:pos="6739"/>
        <w:tab w:val="right" w:pos="10348"/>
        <w:tab w:val="clear" w:pos="4536"/>
        <w:tab w:val="clear" w:pos="9072"/>
      </w:tabs>
      <w:spacing w:before="0"/>
      <w:rPr>
        <w:b/>
        <w:sz w:val="24"/>
        <w:szCs w:val="24"/>
      </w:rPr>
    </w:pPr>
    <w:r>
      <w:rPr>
        <w:b/>
        <w:sz w:val="24"/>
        <w:szCs w:val="24"/>
      </w:rPr>
      <w:drawing>
        <wp:inline distT="0" distB="0" distL="0" distR="0">
          <wp:extent cx="933450" cy="387350"/>
          <wp:effectExtent l="0" t="0" r="0" b="0"/>
          <wp:docPr id="144552331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523313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7393" cy="393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4"/>
        <w:szCs w:val="24"/>
      </w:rPr>
      <w:tab/>
    </w:r>
    <w:r>
      <w:rPr>
        <w:b/>
        <w:sz w:val="24"/>
        <w:szCs w:val="24"/>
        <w:lang w:eastAsia="zh-CN"/>
      </w:rPr>
      <w:tab/>
    </w:r>
    <w:r>
      <w:rPr>
        <w:rFonts w:hint="eastAsia"/>
        <w:b/>
        <w:sz w:val="24"/>
        <w:szCs w:val="24"/>
        <w:lang w:eastAsia="zh-CN"/>
      </w:rPr>
      <w:t>GEO-SA-</w:t>
    </w:r>
    <w:r>
      <w:rPr>
        <w:b/>
        <w:sz w:val="24"/>
        <w:szCs w:val="24"/>
      </w:rPr>
      <w:t>xx_0</w:t>
    </w:r>
    <w:r>
      <w:rPr>
        <w:b/>
        <w:sz w:val="24"/>
        <w:szCs w:val="24"/>
        <w:lang w:eastAsia="zh-CN"/>
      </w:rPr>
      <w:t>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7D165">
    <w:pPr>
      <w:pStyle w:val="19"/>
    </w:pPr>
    <w:r>
      <w:pict>
        <v:shape id="WordPictureWatermark901541407" o:spid="_x0000_s1026" o:spt="75" type="#_x0000_t75" style="position:absolute;left:0pt;height:214.8pt;width:517.2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GE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615B5">
    <w:pPr>
      <w:pStyle w:val="19"/>
    </w:pPr>
    <w:r>
      <w:pict>
        <v:shape id="WordPictureWatermark901541406" o:spid="_x0000_s1025" o:spt="75" type="#_x0000_t75" style="position:absolute;left:0pt;height:214.8pt;width:517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GE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D62CB"/>
    <w:multiLevelType w:val="multilevel"/>
    <w:tmpl w:val="0CBD62CB"/>
    <w:lvl w:ilvl="0" w:tentative="0">
      <w:start w:val="1"/>
      <w:numFmt w:val="decimal"/>
      <w:lvlText w:val="%1"/>
      <w:lvlJc w:val="left"/>
      <w:pPr>
        <w:tabs>
          <w:tab w:val="left" w:pos="567"/>
        </w:tabs>
        <w:ind w:left="567" w:hanging="567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92"/>
        </w:tabs>
        <w:ind w:left="792" w:hanging="792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862"/>
        </w:tabs>
        <w:ind w:left="862" w:hanging="862"/>
      </w:pPr>
      <w:rPr>
        <w:rFonts w:hint="default" w:cs="Times New Roman"/>
      </w:rPr>
    </w:lvl>
    <w:lvl w:ilvl="3" w:tentative="0">
      <w:start w:val="1"/>
      <w:numFmt w:val="decimal"/>
      <w:pStyle w:val="37"/>
      <w:lvlText w:val="%1.%2.%3.%4"/>
      <w:lvlJc w:val="left"/>
      <w:pPr>
        <w:tabs>
          <w:tab w:val="left" w:pos="862"/>
        </w:tabs>
        <w:ind w:left="0" w:firstLine="1080"/>
      </w:pPr>
      <w:rPr>
        <w:rFonts w:hint="default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  <w:rPr>
        <w:rFonts w:hint="default" w:cs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  <w:rPr>
        <w:rFonts w:hint="default"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  <w:rPr>
        <w:rFonts w:hint="default"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  <w:rPr>
        <w:rFonts w:hint="default"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  <w:rPr>
        <w:rFonts w:hint="default" w:cs="Times New Roman"/>
      </w:rPr>
    </w:lvl>
  </w:abstractNum>
  <w:abstractNum w:abstractNumId="1">
    <w:nsid w:val="195B5DF7"/>
    <w:multiLevelType w:val="multilevel"/>
    <w:tmpl w:val="195B5DF7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B1048AE"/>
    <w:multiLevelType w:val="multilevel"/>
    <w:tmpl w:val="2B1048AE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 w:cs="微软雅黑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85A19DF"/>
    <w:multiLevelType w:val="multilevel"/>
    <w:tmpl w:val="385A19DF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70B23E19"/>
    <w:multiLevelType w:val="multilevel"/>
    <w:tmpl w:val="70B23E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720"/>
  <w:autoHyphenation/>
  <w:hyphenationZone w:val="425"/>
  <w:drawingGridHorizontalSpacing w:val="57"/>
  <w:drawingGridVerticalSpacing w:val="57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66B"/>
    <w:rsid w:val="00002C32"/>
    <w:rsid w:val="000102BA"/>
    <w:rsid w:val="000105AC"/>
    <w:rsid w:val="00011EEF"/>
    <w:rsid w:val="00026537"/>
    <w:rsid w:val="000579C3"/>
    <w:rsid w:val="00064AD2"/>
    <w:rsid w:val="000671AF"/>
    <w:rsid w:val="00080344"/>
    <w:rsid w:val="000806E9"/>
    <w:rsid w:val="0008397A"/>
    <w:rsid w:val="00096A57"/>
    <w:rsid w:val="0009704A"/>
    <w:rsid w:val="000B5939"/>
    <w:rsid w:val="000C083D"/>
    <w:rsid w:val="000C5ACF"/>
    <w:rsid w:val="000E6F99"/>
    <w:rsid w:val="00110282"/>
    <w:rsid w:val="00110A9D"/>
    <w:rsid w:val="00124C23"/>
    <w:rsid w:val="001312A0"/>
    <w:rsid w:val="00132C3F"/>
    <w:rsid w:val="00134CE6"/>
    <w:rsid w:val="00141403"/>
    <w:rsid w:val="00141FCA"/>
    <w:rsid w:val="0014616E"/>
    <w:rsid w:val="00147515"/>
    <w:rsid w:val="00150989"/>
    <w:rsid w:val="00150FD4"/>
    <w:rsid w:val="001555A7"/>
    <w:rsid w:val="0015704C"/>
    <w:rsid w:val="001605E2"/>
    <w:rsid w:val="0016455B"/>
    <w:rsid w:val="00164A3E"/>
    <w:rsid w:val="0017474F"/>
    <w:rsid w:val="00177AC1"/>
    <w:rsid w:val="001C19FA"/>
    <w:rsid w:val="001D691D"/>
    <w:rsid w:val="001F0031"/>
    <w:rsid w:val="00210499"/>
    <w:rsid w:val="0021092F"/>
    <w:rsid w:val="00210F72"/>
    <w:rsid w:val="002143DF"/>
    <w:rsid w:val="0023241A"/>
    <w:rsid w:val="00233913"/>
    <w:rsid w:val="00233D40"/>
    <w:rsid w:val="00236217"/>
    <w:rsid w:val="00244618"/>
    <w:rsid w:val="00245EBC"/>
    <w:rsid w:val="0025326C"/>
    <w:rsid w:val="00253E8B"/>
    <w:rsid w:val="002650EE"/>
    <w:rsid w:val="00266F99"/>
    <w:rsid w:val="002843CA"/>
    <w:rsid w:val="00290242"/>
    <w:rsid w:val="00295179"/>
    <w:rsid w:val="002B7772"/>
    <w:rsid w:val="002C4C1F"/>
    <w:rsid w:val="002C7917"/>
    <w:rsid w:val="002D0AEA"/>
    <w:rsid w:val="002D700E"/>
    <w:rsid w:val="002E379F"/>
    <w:rsid w:val="002F75DF"/>
    <w:rsid w:val="00300F1F"/>
    <w:rsid w:val="00303B2E"/>
    <w:rsid w:val="00304035"/>
    <w:rsid w:val="003125AC"/>
    <w:rsid w:val="00313CB1"/>
    <w:rsid w:val="00315F22"/>
    <w:rsid w:val="00333F4A"/>
    <w:rsid w:val="00334116"/>
    <w:rsid w:val="003A7D1D"/>
    <w:rsid w:val="003F002E"/>
    <w:rsid w:val="003F7DA2"/>
    <w:rsid w:val="004156C3"/>
    <w:rsid w:val="004174FD"/>
    <w:rsid w:val="004234C0"/>
    <w:rsid w:val="0042358B"/>
    <w:rsid w:val="00425512"/>
    <w:rsid w:val="00425766"/>
    <w:rsid w:val="004300D9"/>
    <w:rsid w:val="004321AF"/>
    <w:rsid w:val="00441524"/>
    <w:rsid w:val="00444FD2"/>
    <w:rsid w:val="0046411C"/>
    <w:rsid w:val="004846C4"/>
    <w:rsid w:val="00496686"/>
    <w:rsid w:val="004B4836"/>
    <w:rsid w:val="004B79F9"/>
    <w:rsid w:val="004C4107"/>
    <w:rsid w:val="004C5E98"/>
    <w:rsid w:val="004E0311"/>
    <w:rsid w:val="004E477A"/>
    <w:rsid w:val="004F0E30"/>
    <w:rsid w:val="004F3E0B"/>
    <w:rsid w:val="005013F6"/>
    <w:rsid w:val="0050516C"/>
    <w:rsid w:val="00506A8D"/>
    <w:rsid w:val="00514753"/>
    <w:rsid w:val="00540304"/>
    <w:rsid w:val="00545BD3"/>
    <w:rsid w:val="00557345"/>
    <w:rsid w:val="005574DF"/>
    <w:rsid w:val="00566F6E"/>
    <w:rsid w:val="005737A3"/>
    <w:rsid w:val="00580317"/>
    <w:rsid w:val="00584898"/>
    <w:rsid w:val="00586016"/>
    <w:rsid w:val="00593DFD"/>
    <w:rsid w:val="00595D24"/>
    <w:rsid w:val="005B1D65"/>
    <w:rsid w:val="005B2138"/>
    <w:rsid w:val="005C0B4A"/>
    <w:rsid w:val="005D56AD"/>
    <w:rsid w:val="005F3000"/>
    <w:rsid w:val="005F3E75"/>
    <w:rsid w:val="00611043"/>
    <w:rsid w:val="00616B58"/>
    <w:rsid w:val="00631112"/>
    <w:rsid w:val="00635E35"/>
    <w:rsid w:val="00640593"/>
    <w:rsid w:val="00641C96"/>
    <w:rsid w:val="0064406C"/>
    <w:rsid w:val="0064581B"/>
    <w:rsid w:val="00663FBA"/>
    <w:rsid w:val="00670568"/>
    <w:rsid w:val="00681DAC"/>
    <w:rsid w:val="006928A4"/>
    <w:rsid w:val="006B5BA9"/>
    <w:rsid w:val="006B7CB9"/>
    <w:rsid w:val="006C3220"/>
    <w:rsid w:val="006C4A6A"/>
    <w:rsid w:val="006E1973"/>
    <w:rsid w:val="006E3415"/>
    <w:rsid w:val="006E5CB5"/>
    <w:rsid w:val="006F2F5A"/>
    <w:rsid w:val="006F51AB"/>
    <w:rsid w:val="00700B32"/>
    <w:rsid w:val="00702505"/>
    <w:rsid w:val="007063E3"/>
    <w:rsid w:val="00720A20"/>
    <w:rsid w:val="00725E38"/>
    <w:rsid w:val="00727842"/>
    <w:rsid w:val="00727E90"/>
    <w:rsid w:val="0073075F"/>
    <w:rsid w:val="00731398"/>
    <w:rsid w:val="00733F9A"/>
    <w:rsid w:val="00734E72"/>
    <w:rsid w:val="007356E1"/>
    <w:rsid w:val="00736789"/>
    <w:rsid w:val="00736BE7"/>
    <w:rsid w:val="007572B5"/>
    <w:rsid w:val="0077366B"/>
    <w:rsid w:val="00783F37"/>
    <w:rsid w:val="00792E9A"/>
    <w:rsid w:val="00794DC9"/>
    <w:rsid w:val="007A1D85"/>
    <w:rsid w:val="007A5BB9"/>
    <w:rsid w:val="007B6623"/>
    <w:rsid w:val="007D220D"/>
    <w:rsid w:val="007D2244"/>
    <w:rsid w:val="007D3B85"/>
    <w:rsid w:val="007E164B"/>
    <w:rsid w:val="007E6891"/>
    <w:rsid w:val="007E714A"/>
    <w:rsid w:val="007F3D2F"/>
    <w:rsid w:val="007F68D9"/>
    <w:rsid w:val="00800C18"/>
    <w:rsid w:val="00805442"/>
    <w:rsid w:val="00807D03"/>
    <w:rsid w:val="00813E81"/>
    <w:rsid w:val="008144D0"/>
    <w:rsid w:val="00827FE2"/>
    <w:rsid w:val="008355FA"/>
    <w:rsid w:val="00836519"/>
    <w:rsid w:val="00845B35"/>
    <w:rsid w:val="0084736F"/>
    <w:rsid w:val="00856A78"/>
    <w:rsid w:val="00862F61"/>
    <w:rsid w:val="008637A1"/>
    <w:rsid w:val="00866A5C"/>
    <w:rsid w:val="00881F0B"/>
    <w:rsid w:val="008820F7"/>
    <w:rsid w:val="008968C1"/>
    <w:rsid w:val="008B2EE5"/>
    <w:rsid w:val="008B362A"/>
    <w:rsid w:val="008C27A8"/>
    <w:rsid w:val="008C7B18"/>
    <w:rsid w:val="008E26DD"/>
    <w:rsid w:val="008F18C2"/>
    <w:rsid w:val="0091015A"/>
    <w:rsid w:val="00912FAA"/>
    <w:rsid w:val="0092003B"/>
    <w:rsid w:val="00922939"/>
    <w:rsid w:val="00926F38"/>
    <w:rsid w:val="00931F63"/>
    <w:rsid w:val="009752B2"/>
    <w:rsid w:val="00981829"/>
    <w:rsid w:val="009854FA"/>
    <w:rsid w:val="009B1173"/>
    <w:rsid w:val="009B32C4"/>
    <w:rsid w:val="009B659D"/>
    <w:rsid w:val="009D1617"/>
    <w:rsid w:val="009E537E"/>
    <w:rsid w:val="009F05AB"/>
    <w:rsid w:val="00A03437"/>
    <w:rsid w:val="00A155E8"/>
    <w:rsid w:val="00A32949"/>
    <w:rsid w:val="00A333AC"/>
    <w:rsid w:val="00A345F2"/>
    <w:rsid w:val="00A51BDA"/>
    <w:rsid w:val="00A5757E"/>
    <w:rsid w:val="00A630A2"/>
    <w:rsid w:val="00A650C6"/>
    <w:rsid w:val="00A708C7"/>
    <w:rsid w:val="00A70ABB"/>
    <w:rsid w:val="00A90B34"/>
    <w:rsid w:val="00A96B9F"/>
    <w:rsid w:val="00AB392B"/>
    <w:rsid w:val="00AB4529"/>
    <w:rsid w:val="00AC2C59"/>
    <w:rsid w:val="00AF17A4"/>
    <w:rsid w:val="00AF50AD"/>
    <w:rsid w:val="00B0313E"/>
    <w:rsid w:val="00B241AC"/>
    <w:rsid w:val="00B303DD"/>
    <w:rsid w:val="00B4075C"/>
    <w:rsid w:val="00B4097B"/>
    <w:rsid w:val="00B46A7F"/>
    <w:rsid w:val="00B50597"/>
    <w:rsid w:val="00B5185E"/>
    <w:rsid w:val="00B54C98"/>
    <w:rsid w:val="00B7149D"/>
    <w:rsid w:val="00B736CA"/>
    <w:rsid w:val="00B82067"/>
    <w:rsid w:val="00B82FF8"/>
    <w:rsid w:val="00B906FE"/>
    <w:rsid w:val="00BA3239"/>
    <w:rsid w:val="00BC624B"/>
    <w:rsid w:val="00BE401B"/>
    <w:rsid w:val="00BF3518"/>
    <w:rsid w:val="00C33C14"/>
    <w:rsid w:val="00C35E64"/>
    <w:rsid w:val="00C40E12"/>
    <w:rsid w:val="00C4456B"/>
    <w:rsid w:val="00C56621"/>
    <w:rsid w:val="00C8200A"/>
    <w:rsid w:val="00C83766"/>
    <w:rsid w:val="00CA287C"/>
    <w:rsid w:val="00CB19F2"/>
    <w:rsid w:val="00CB79CF"/>
    <w:rsid w:val="00CC0C0E"/>
    <w:rsid w:val="00CC4CC7"/>
    <w:rsid w:val="00CD0ADC"/>
    <w:rsid w:val="00CE0025"/>
    <w:rsid w:val="00CE178A"/>
    <w:rsid w:val="00CE6615"/>
    <w:rsid w:val="00CF589B"/>
    <w:rsid w:val="00D00A85"/>
    <w:rsid w:val="00D0273D"/>
    <w:rsid w:val="00D03EBE"/>
    <w:rsid w:val="00D0726D"/>
    <w:rsid w:val="00D12441"/>
    <w:rsid w:val="00D12AF5"/>
    <w:rsid w:val="00D24B0C"/>
    <w:rsid w:val="00D27E68"/>
    <w:rsid w:val="00D503C5"/>
    <w:rsid w:val="00D514F6"/>
    <w:rsid w:val="00D63513"/>
    <w:rsid w:val="00D71E7F"/>
    <w:rsid w:val="00D8662D"/>
    <w:rsid w:val="00DA4A0C"/>
    <w:rsid w:val="00DA60B6"/>
    <w:rsid w:val="00DC703C"/>
    <w:rsid w:val="00DD77F0"/>
    <w:rsid w:val="00DE62D9"/>
    <w:rsid w:val="00DE63E4"/>
    <w:rsid w:val="00DF5E62"/>
    <w:rsid w:val="00E030E9"/>
    <w:rsid w:val="00E03AB0"/>
    <w:rsid w:val="00E048EC"/>
    <w:rsid w:val="00E15C69"/>
    <w:rsid w:val="00E3635D"/>
    <w:rsid w:val="00E37FDC"/>
    <w:rsid w:val="00E51D26"/>
    <w:rsid w:val="00E579D0"/>
    <w:rsid w:val="00E72341"/>
    <w:rsid w:val="00E7484B"/>
    <w:rsid w:val="00E75A9C"/>
    <w:rsid w:val="00EA3F3B"/>
    <w:rsid w:val="00EA53DF"/>
    <w:rsid w:val="00EB03EF"/>
    <w:rsid w:val="00EB1D4F"/>
    <w:rsid w:val="00EB7EAA"/>
    <w:rsid w:val="00EC0F60"/>
    <w:rsid w:val="00EC184A"/>
    <w:rsid w:val="00ED0D2B"/>
    <w:rsid w:val="00ED0E25"/>
    <w:rsid w:val="00ED1B9E"/>
    <w:rsid w:val="00ED274F"/>
    <w:rsid w:val="00EE3133"/>
    <w:rsid w:val="00EE5FB1"/>
    <w:rsid w:val="00EF25D9"/>
    <w:rsid w:val="00EF3237"/>
    <w:rsid w:val="00EF35CB"/>
    <w:rsid w:val="00F021A0"/>
    <w:rsid w:val="00F02538"/>
    <w:rsid w:val="00F21FC7"/>
    <w:rsid w:val="00F246B7"/>
    <w:rsid w:val="00F34D33"/>
    <w:rsid w:val="00F64473"/>
    <w:rsid w:val="00F806B4"/>
    <w:rsid w:val="00F82971"/>
    <w:rsid w:val="00F83C29"/>
    <w:rsid w:val="00F86468"/>
    <w:rsid w:val="00F93C58"/>
    <w:rsid w:val="00FA65AF"/>
    <w:rsid w:val="00FB033E"/>
    <w:rsid w:val="00FB16E8"/>
    <w:rsid w:val="00FB20D1"/>
    <w:rsid w:val="00FC5303"/>
    <w:rsid w:val="00FD26BE"/>
    <w:rsid w:val="00FD2938"/>
    <w:rsid w:val="00FD5E59"/>
    <w:rsid w:val="00FF5F9A"/>
    <w:rsid w:val="02A429BD"/>
    <w:rsid w:val="0D2A5A4D"/>
    <w:rsid w:val="0E0C7501"/>
    <w:rsid w:val="15915022"/>
    <w:rsid w:val="1A2C356C"/>
    <w:rsid w:val="1B556404"/>
    <w:rsid w:val="240370EB"/>
    <w:rsid w:val="25631DA9"/>
    <w:rsid w:val="286B330B"/>
    <w:rsid w:val="29BE09EC"/>
    <w:rsid w:val="2A1C0F07"/>
    <w:rsid w:val="2F0B779C"/>
    <w:rsid w:val="2F5702EB"/>
    <w:rsid w:val="3A9B3775"/>
    <w:rsid w:val="506A1275"/>
    <w:rsid w:val="59E23E86"/>
    <w:rsid w:val="5D0229BB"/>
    <w:rsid w:val="63B35731"/>
    <w:rsid w:val="669619A8"/>
    <w:rsid w:val="6E6F7694"/>
    <w:rsid w:val="6EA463A2"/>
    <w:rsid w:val="70DF36C1"/>
    <w:rsid w:val="7778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iPriority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before="60"/>
      <w:jc w:val="both"/>
      <w:textAlignment w:val="baseline"/>
    </w:pPr>
    <w:rPr>
      <w:rFonts w:ascii="Arial" w:hAnsi="Arial" w:cs="Times New Roman" w:eastAsiaTheme="minorEastAsia"/>
      <w:lang w:val="de-DE" w:eastAsia="ja-JP" w:bidi="ar-SA"/>
    </w:rPr>
  </w:style>
  <w:style w:type="paragraph" w:styleId="2">
    <w:name w:val="heading 1"/>
    <w:basedOn w:val="3"/>
    <w:next w:val="1"/>
    <w:link w:val="53"/>
    <w:qFormat/>
    <w:uiPriority w:val="0"/>
    <w:pPr>
      <w:numPr>
        <w:ilvl w:val="0"/>
        <w:numId w:val="1"/>
      </w:numPr>
      <w:outlineLvl w:val="0"/>
    </w:pPr>
    <w:rPr>
      <w:rFonts w:cs="Arial"/>
      <w:lang w:val="en-US" w:eastAsia="zh-CN"/>
    </w:rPr>
  </w:style>
  <w:style w:type="paragraph" w:styleId="4">
    <w:name w:val="heading 2"/>
    <w:basedOn w:val="1"/>
    <w:next w:val="1"/>
    <w:qFormat/>
    <w:uiPriority w:val="0"/>
    <w:pPr>
      <w:framePr w:wrap="around" w:vAnchor="text" w:hAnchor="text" w:y="1"/>
      <w:numPr>
        <w:ilvl w:val="1"/>
        <w:numId w:val="2"/>
      </w:numPr>
      <w:spacing w:before="240" w:after="60"/>
      <w:jc w:val="left"/>
      <w:outlineLvl w:val="1"/>
    </w:pPr>
    <w:rPr>
      <w:rFonts w:eastAsiaTheme="majorEastAsia"/>
      <w:b/>
      <w:iCs/>
      <w:sz w:val="24"/>
      <w:szCs w:val="28"/>
    </w:rPr>
  </w:style>
  <w:style w:type="paragraph" w:styleId="5">
    <w:name w:val="heading 3"/>
    <w:basedOn w:val="1"/>
    <w:next w:val="1"/>
    <w:autoRedefine/>
    <w:qFormat/>
    <w:uiPriority w:val="0"/>
    <w:pPr>
      <w:keepNext/>
      <w:numPr>
        <w:ilvl w:val="2"/>
        <w:numId w:val="2"/>
      </w:numPr>
      <w:spacing w:before="240" w:after="60"/>
      <w:outlineLvl w:val="2"/>
    </w:pPr>
    <w:rPr>
      <w:rFonts w:eastAsia="MS Mincho" w:cs="Arial"/>
      <w:b/>
      <w:bCs/>
      <w:sz w:val="24"/>
      <w:szCs w:val="26"/>
      <w:lang w:val="en-US" w:eastAsia="de-DE"/>
    </w:rPr>
  </w:style>
  <w:style w:type="paragraph" w:styleId="6">
    <w:name w:val="heading 4"/>
    <w:basedOn w:val="1"/>
    <w:next w:val="1"/>
    <w:autoRedefine/>
    <w:qFormat/>
    <w:uiPriority w:val="0"/>
    <w:pPr>
      <w:keepNext/>
      <w:numPr>
        <w:ilvl w:val="3"/>
        <w:numId w:val="2"/>
      </w:numPr>
      <w:spacing w:before="240" w:after="60"/>
      <w:outlineLvl w:val="3"/>
    </w:pPr>
    <w:rPr>
      <w:rFonts w:cs="Arial" w:eastAsiaTheme="majorEastAsia"/>
      <w:b/>
      <w:kern w:val="32"/>
      <w:sz w:val="24"/>
      <w:szCs w:val="28"/>
    </w:rPr>
  </w:style>
  <w:style w:type="paragraph" w:styleId="7">
    <w:name w:val="heading 5"/>
    <w:basedOn w:val="1"/>
    <w:next w:val="1"/>
    <w:autoRedefine/>
    <w:qFormat/>
    <w:uiPriority w:val="0"/>
    <w:pPr>
      <w:numPr>
        <w:ilvl w:val="4"/>
        <w:numId w:val="2"/>
      </w:numPr>
      <w:spacing w:before="240" w:after="60"/>
      <w:outlineLvl w:val="4"/>
    </w:pPr>
    <w:rPr>
      <w:rFonts w:eastAsiaTheme="majorEastAsia" w:cstheme="majorBidi"/>
      <w:b/>
      <w:bCs/>
      <w:iCs/>
      <w:sz w:val="24"/>
      <w:szCs w:val="26"/>
    </w:rPr>
  </w:style>
  <w:style w:type="paragraph" w:styleId="8">
    <w:name w:val="heading 6"/>
    <w:basedOn w:val="1"/>
    <w:next w:val="1"/>
    <w:autoRedefine/>
    <w:qFormat/>
    <w:uiPriority w:val="0"/>
    <w:pPr>
      <w:numPr>
        <w:ilvl w:val="5"/>
        <w:numId w:val="2"/>
      </w:numPr>
      <w:spacing w:before="240" w:after="60"/>
      <w:outlineLvl w:val="5"/>
    </w:pPr>
    <w:rPr>
      <w:rFonts w:eastAsiaTheme="majorEastAsia" w:cstheme="majorBidi"/>
      <w:b/>
      <w:bCs/>
      <w:sz w:val="24"/>
      <w:szCs w:val="22"/>
    </w:rPr>
  </w:style>
  <w:style w:type="paragraph" w:styleId="9">
    <w:name w:val="heading 7"/>
    <w:basedOn w:val="1"/>
    <w:next w:val="1"/>
    <w:autoRedefine/>
    <w:qFormat/>
    <w:uiPriority w:val="0"/>
    <w:pPr>
      <w:numPr>
        <w:ilvl w:val="6"/>
        <w:numId w:val="2"/>
      </w:numPr>
      <w:spacing w:before="240" w:after="60"/>
      <w:outlineLvl w:val="6"/>
    </w:pPr>
    <w:rPr>
      <w:rFonts w:eastAsiaTheme="majorEastAsia" w:cstheme="majorBidi"/>
      <w:b/>
      <w:sz w:val="24"/>
      <w:szCs w:val="24"/>
    </w:rPr>
  </w:style>
  <w:style w:type="paragraph" w:styleId="10">
    <w:name w:val="heading 8"/>
    <w:basedOn w:val="1"/>
    <w:next w:val="1"/>
    <w:autoRedefine/>
    <w:qFormat/>
    <w:uiPriority w:val="0"/>
    <w:pPr>
      <w:numPr>
        <w:ilvl w:val="7"/>
        <w:numId w:val="2"/>
      </w:numPr>
      <w:spacing w:before="240" w:after="60"/>
      <w:outlineLvl w:val="7"/>
    </w:pPr>
    <w:rPr>
      <w:rFonts w:eastAsiaTheme="majorEastAsia" w:cstheme="majorBidi"/>
      <w:b/>
      <w:iCs/>
      <w:sz w:val="24"/>
      <w:szCs w:val="24"/>
    </w:rPr>
  </w:style>
  <w:style w:type="paragraph" w:styleId="11">
    <w:name w:val="heading 9"/>
    <w:basedOn w:val="1"/>
    <w:next w:val="1"/>
    <w:autoRedefine/>
    <w:qFormat/>
    <w:uiPriority w:val="0"/>
    <w:pPr>
      <w:numPr>
        <w:ilvl w:val="8"/>
        <w:numId w:val="2"/>
      </w:numPr>
      <w:spacing w:before="240" w:after="60"/>
      <w:outlineLvl w:val="8"/>
    </w:pPr>
    <w:rPr>
      <w:rFonts w:cs="Arial" w:eastAsiaTheme="majorEastAsia"/>
      <w:b/>
      <w:sz w:val="24"/>
      <w:szCs w:val="22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link w:val="45"/>
    <w:qFormat/>
    <w:uiPriority w:val="0"/>
    <w:pPr>
      <w:spacing w:before="0" w:after="300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paragraph" w:styleId="12">
    <w:name w:val="caption"/>
    <w:basedOn w:val="1"/>
    <w:next w:val="1"/>
    <w:unhideWhenUsed/>
    <w:qFormat/>
    <w:uiPriority w:val="0"/>
    <w:pPr>
      <w:spacing w:before="0" w:after="200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Document Map"/>
    <w:basedOn w:val="1"/>
    <w:link w:val="41"/>
    <w:qFormat/>
    <w:uiPriority w:val="0"/>
    <w:pPr>
      <w:spacing w:before="0"/>
    </w:pPr>
    <w:rPr>
      <w:rFonts w:ascii="Tahoma" w:hAnsi="Tahoma" w:cs="Tahoma"/>
      <w:sz w:val="16"/>
      <w:szCs w:val="16"/>
    </w:rPr>
  </w:style>
  <w:style w:type="paragraph" w:styleId="14">
    <w:name w:val="annotation text"/>
    <w:basedOn w:val="1"/>
    <w:link w:val="39"/>
    <w:qFormat/>
    <w:uiPriority w:val="0"/>
  </w:style>
  <w:style w:type="paragraph" w:styleId="15">
    <w:name w:val="toc 3"/>
    <w:basedOn w:val="1"/>
    <w:next w:val="1"/>
    <w:autoRedefine/>
    <w:qFormat/>
    <w:uiPriority w:val="39"/>
    <w:pPr>
      <w:ind w:left="400"/>
    </w:pPr>
  </w:style>
  <w:style w:type="paragraph" w:styleId="16">
    <w:name w:val="endnote text"/>
    <w:basedOn w:val="1"/>
    <w:link w:val="42"/>
    <w:qFormat/>
    <w:uiPriority w:val="0"/>
    <w:pPr>
      <w:spacing w:before="0"/>
    </w:pPr>
  </w:style>
  <w:style w:type="paragraph" w:styleId="17">
    <w:name w:val="Balloon Text"/>
    <w:basedOn w:val="1"/>
    <w:link w:val="38"/>
    <w:qFormat/>
    <w:uiPriority w:val="0"/>
    <w:pPr>
      <w:spacing w:before="0"/>
    </w:pPr>
    <w:rPr>
      <w:rFonts w:ascii="Tahoma" w:hAnsi="Tahoma" w:cs="Tahoma"/>
      <w:sz w:val="16"/>
      <w:szCs w:val="16"/>
    </w:rPr>
  </w:style>
  <w:style w:type="paragraph" w:styleId="18">
    <w:name w:val="footer"/>
    <w:basedOn w:val="1"/>
    <w:qFormat/>
    <w:uiPriority w:val="0"/>
    <w:pPr>
      <w:tabs>
        <w:tab w:val="center" w:pos="4536"/>
        <w:tab w:val="right" w:pos="9072"/>
      </w:tabs>
    </w:pPr>
  </w:style>
  <w:style w:type="paragraph" w:styleId="19">
    <w:name w:val="header"/>
    <w:basedOn w:val="1"/>
    <w:qFormat/>
    <w:uiPriority w:val="0"/>
    <w:pPr>
      <w:tabs>
        <w:tab w:val="center" w:pos="4536"/>
        <w:tab w:val="right" w:pos="9072"/>
      </w:tabs>
    </w:pPr>
  </w:style>
  <w:style w:type="paragraph" w:styleId="20">
    <w:name w:val="toc 1"/>
    <w:basedOn w:val="1"/>
    <w:next w:val="1"/>
    <w:autoRedefine/>
    <w:qFormat/>
    <w:uiPriority w:val="39"/>
  </w:style>
  <w:style w:type="paragraph" w:styleId="21">
    <w:name w:val="Subtitle"/>
    <w:basedOn w:val="1"/>
    <w:next w:val="1"/>
    <w:link w:val="50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bCs/>
      <w:kern w:val="28"/>
      <w:sz w:val="32"/>
      <w:szCs w:val="32"/>
    </w:rPr>
  </w:style>
  <w:style w:type="paragraph" w:styleId="22">
    <w:name w:val="toc 2"/>
    <w:basedOn w:val="1"/>
    <w:next w:val="1"/>
    <w:autoRedefine/>
    <w:qFormat/>
    <w:uiPriority w:val="39"/>
    <w:pPr>
      <w:ind w:left="200"/>
    </w:pPr>
  </w:style>
  <w:style w:type="paragraph" w:styleId="23">
    <w:name w:val="Normal (Web)"/>
    <w:basedOn w:val="1"/>
    <w:unhideWhenUsed/>
    <w:qFormat/>
    <w:uiPriority w:val="99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ascii="Times New Roman" w:hAnsi="Times New Roman"/>
      <w:color w:val="000000"/>
      <w:sz w:val="24"/>
      <w:szCs w:val="24"/>
      <w:lang w:eastAsia="de-DE"/>
    </w:rPr>
  </w:style>
  <w:style w:type="paragraph" w:styleId="24">
    <w:name w:val="annotation subject"/>
    <w:basedOn w:val="14"/>
    <w:next w:val="14"/>
    <w:link w:val="40"/>
    <w:qFormat/>
    <w:uiPriority w:val="0"/>
    <w:rPr>
      <w:b/>
      <w:bCs/>
    </w:rPr>
  </w:style>
  <w:style w:type="table" w:styleId="26">
    <w:name w:val="Table Grid"/>
    <w:basedOn w:val="25"/>
    <w:qFormat/>
    <w:uiPriority w:val="0"/>
    <w:rPr>
      <w:rFonts w:eastAsia="MS Minch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7">
    <w:name w:val="Table Simple 1"/>
    <w:basedOn w:val="25"/>
    <w:qFormat/>
    <w:uiPriority w:val="0"/>
    <w:pPr>
      <w:overflowPunct w:val="0"/>
      <w:autoSpaceDE w:val="0"/>
      <w:autoSpaceDN w:val="0"/>
      <w:adjustRightInd w:val="0"/>
      <w:spacing w:before="60"/>
      <w:jc w:val="both"/>
      <w:textAlignment w:val="baseline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29">
    <w:name w:val="Strong"/>
    <w:basedOn w:val="28"/>
    <w:qFormat/>
    <w:uiPriority w:val="0"/>
    <w:rPr>
      <w:b/>
      <w:bCs/>
    </w:rPr>
  </w:style>
  <w:style w:type="character" w:styleId="30">
    <w:name w:val="endnote reference"/>
    <w:basedOn w:val="28"/>
    <w:qFormat/>
    <w:uiPriority w:val="0"/>
    <w:rPr>
      <w:vertAlign w:val="superscript"/>
    </w:rPr>
  </w:style>
  <w:style w:type="character" w:styleId="31">
    <w:name w:val="FollowedHyperlink"/>
    <w:basedOn w:val="28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2">
    <w:name w:val="Emphasis"/>
    <w:basedOn w:val="28"/>
    <w:qFormat/>
    <w:uiPriority w:val="0"/>
    <w:rPr>
      <w:i/>
      <w:iCs/>
    </w:rPr>
  </w:style>
  <w:style w:type="character" w:styleId="33">
    <w:name w:val="line number"/>
    <w:basedOn w:val="28"/>
    <w:qFormat/>
    <w:uiPriority w:val="0"/>
  </w:style>
  <w:style w:type="character" w:styleId="34">
    <w:name w:val="Hyperlink"/>
    <w:basedOn w:val="28"/>
    <w:unhideWhenUsed/>
    <w:qFormat/>
    <w:uiPriority w:val="99"/>
    <w:rPr>
      <w:color w:val="0000FF"/>
      <w:u w:val="single"/>
    </w:rPr>
  </w:style>
  <w:style w:type="character" w:styleId="35">
    <w:name w:val="annotation reference"/>
    <w:basedOn w:val="28"/>
    <w:qFormat/>
    <w:uiPriority w:val="0"/>
    <w:rPr>
      <w:sz w:val="16"/>
      <w:szCs w:val="16"/>
    </w:rPr>
  </w:style>
  <w:style w:type="paragraph" w:customStyle="1" w:styleId="36">
    <w:name w:val="Über 2_deu"/>
    <w:basedOn w:val="4"/>
    <w:next w:val="1"/>
    <w:qFormat/>
    <w:uiPriority w:val="0"/>
    <w:pPr>
      <w:framePr w:wrap="around"/>
      <w:tabs>
        <w:tab w:val="left" w:pos="0"/>
        <w:tab w:val="left" w:pos="567"/>
      </w:tabs>
      <w:ind w:left="709" w:hanging="709"/>
      <w:outlineLvl w:val="9"/>
    </w:pPr>
    <w:rPr>
      <w:i/>
      <w:iCs w:val="0"/>
      <w:szCs w:val="20"/>
    </w:rPr>
  </w:style>
  <w:style w:type="paragraph" w:customStyle="1" w:styleId="37">
    <w:name w:val="Test"/>
    <w:basedOn w:val="1"/>
    <w:qFormat/>
    <w:uiPriority w:val="0"/>
    <w:pPr>
      <w:numPr>
        <w:ilvl w:val="3"/>
        <w:numId w:val="3"/>
      </w:numPr>
    </w:pPr>
  </w:style>
  <w:style w:type="character" w:customStyle="1" w:styleId="38">
    <w:name w:val="批注框文本 字符"/>
    <w:basedOn w:val="28"/>
    <w:link w:val="17"/>
    <w:qFormat/>
    <w:uiPriority w:val="0"/>
    <w:rPr>
      <w:rFonts w:ascii="Tahoma" w:hAnsi="Tahoma" w:cs="Tahoma"/>
      <w:sz w:val="16"/>
      <w:szCs w:val="16"/>
      <w:lang w:eastAsia="ja-JP"/>
    </w:rPr>
  </w:style>
  <w:style w:type="character" w:customStyle="1" w:styleId="39">
    <w:name w:val="批注文字 字符"/>
    <w:basedOn w:val="28"/>
    <w:link w:val="14"/>
    <w:qFormat/>
    <w:uiPriority w:val="0"/>
    <w:rPr>
      <w:rFonts w:ascii="Arial" w:hAnsi="Arial"/>
      <w:lang w:eastAsia="ja-JP"/>
    </w:rPr>
  </w:style>
  <w:style w:type="character" w:customStyle="1" w:styleId="40">
    <w:name w:val="批注主题 字符"/>
    <w:basedOn w:val="39"/>
    <w:link w:val="24"/>
    <w:qFormat/>
    <w:uiPriority w:val="0"/>
    <w:rPr>
      <w:rFonts w:ascii="Arial" w:hAnsi="Arial"/>
      <w:b/>
      <w:bCs/>
      <w:lang w:eastAsia="ja-JP"/>
    </w:rPr>
  </w:style>
  <w:style w:type="character" w:customStyle="1" w:styleId="41">
    <w:name w:val="文档结构图 字符"/>
    <w:basedOn w:val="28"/>
    <w:link w:val="13"/>
    <w:qFormat/>
    <w:uiPriority w:val="0"/>
    <w:rPr>
      <w:rFonts w:ascii="Tahoma" w:hAnsi="Tahoma" w:cs="Tahoma"/>
      <w:sz w:val="16"/>
      <w:szCs w:val="16"/>
      <w:lang w:eastAsia="ja-JP"/>
    </w:rPr>
  </w:style>
  <w:style w:type="character" w:customStyle="1" w:styleId="42">
    <w:name w:val="尾注文本 字符"/>
    <w:basedOn w:val="28"/>
    <w:link w:val="16"/>
    <w:qFormat/>
    <w:uiPriority w:val="0"/>
    <w:rPr>
      <w:rFonts w:ascii="Arial" w:hAnsi="Arial"/>
      <w:lang w:eastAsia="ja-JP"/>
    </w:rPr>
  </w:style>
  <w:style w:type="paragraph" w:customStyle="1" w:styleId="43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EastAsia"/>
      <w:color w:val="000000"/>
      <w:sz w:val="24"/>
      <w:szCs w:val="24"/>
      <w:lang w:val="de-DE" w:eastAsia="de-DE" w:bidi="ar-SA"/>
    </w:rPr>
  </w:style>
  <w:style w:type="paragraph" w:customStyle="1" w:styleId="44">
    <w:name w:val="zitat"/>
    <w:basedOn w:val="1"/>
    <w:qFormat/>
    <w:uiPriority w:val="0"/>
    <w:pPr>
      <w:overflowPunct/>
      <w:autoSpaceDE/>
      <w:autoSpaceDN/>
      <w:adjustRightInd/>
      <w:spacing w:before="100" w:beforeAutospacing="1"/>
      <w:jc w:val="left"/>
      <w:textAlignment w:val="auto"/>
    </w:pPr>
    <w:rPr>
      <w:rFonts w:ascii="Times New Roman" w:hAnsi="Times New Roman"/>
      <w:sz w:val="24"/>
      <w:szCs w:val="24"/>
      <w:lang w:eastAsia="de-DE"/>
    </w:rPr>
  </w:style>
  <w:style w:type="character" w:customStyle="1" w:styleId="45">
    <w:name w:val="标题 字符"/>
    <w:basedOn w:val="28"/>
    <w:link w:val="3"/>
    <w:qFormat/>
    <w:uiPriority w:val="0"/>
    <w:rPr>
      <w:rFonts w:ascii="Arial" w:hAnsi="Arial" w:eastAsiaTheme="majorEastAsia" w:cstheme="majorBidi"/>
      <w:b/>
      <w:spacing w:val="5"/>
      <w:kern w:val="28"/>
      <w:sz w:val="28"/>
      <w:szCs w:val="52"/>
      <w:lang w:eastAsia="ja-JP"/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paragraph" w:customStyle="1" w:styleId="47">
    <w:name w:val="修订1"/>
    <w:hidden/>
    <w:semiHidden/>
    <w:qFormat/>
    <w:uiPriority w:val="99"/>
    <w:rPr>
      <w:rFonts w:ascii="Arial" w:hAnsi="Arial" w:cs="Times New Roman" w:eastAsiaTheme="minorEastAsia"/>
      <w:lang w:val="de-DE" w:eastAsia="ja-JP" w:bidi="ar-SA"/>
    </w:rPr>
  </w:style>
  <w:style w:type="paragraph" w:customStyle="1" w:styleId="48">
    <w:name w:val="Stand_deu"/>
    <w:basedOn w:val="1"/>
    <w:qFormat/>
    <w:uiPriority w:val="0"/>
    <w:pPr>
      <w:jc w:val="left"/>
    </w:pPr>
  </w:style>
  <w:style w:type="paragraph" w:customStyle="1" w:styleId="49">
    <w:name w:val="TOC 标题1"/>
    <w:basedOn w:val="2"/>
    <w:next w:val="1"/>
    <w:unhideWhenUsed/>
    <w:qFormat/>
    <w:uiPriority w:val="39"/>
    <w:pPr>
      <w:keepLines/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hAnsiTheme="majorHAnsi" w:cstheme="majorBidi"/>
      <w:color w:val="376092" w:themeColor="accent1" w:themeShade="BF"/>
      <w:kern w:val="0"/>
      <w:szCs w:val="28"/>
      <w:lang w:eastAsia="en-US"/>
    </w:rPr>
  </w:style>
  <w:style w:type="character" w:customStyle="1" w:styleId="50">
    <w:name w:val="副标题 字符"/>
    <w:basedOn w:val="28"/>
    <w:link w:val="21"/>
    <w:qFormat/>
    <w:uiPriority w:val="0"/>
    <w:rPr>
      <w:rFonts w:asciiTheme="minorHAnsi" w:hAnsiTheme="minorHAnsi" w:cstheme="minorBidi"/>
      <w:b/>
      <w:bCs/>
      <w:kern w:val="28"/>
      <w:sz w:val="32"/>
      <w:szCs w:val="32"/>
      <w:lang w:eastAsia="ja-JP"/>
    </w:rPr>
  </w:style>
  <w:style w:type="paragraph" w:customStyle="1" w:styleId="51">
    <w:name w:val="71e7dc79-1ff7-45e8-997d-0ebda3762b91"/>
    <w:basedOn w:val="4"/>
    <w:next w:val="52"/>
    <w:link w:val="54"/>
    <w:qFormat/>
    <w:uiPriority w:val="0"/>
    <w:pPr>
      <w:framePr w:wrap="around"/>
      <w:numPr>
        <w:ilvl w:val="0"/>
        <w:numId w:val="0"/>
      </w:numPr>
      <w:spacing w:before="0" w:after="0" w:line="288" w:lineRule="auto"/>
    </w:pPr>
    <w:rPr>
      <w:rFonts w:ascii="微软雅黑" w:hAnsi="微软雅黑" w:eastAsia="微软雅黑" w:cs="Calibri"/>
      <w:color w:val="000000"/>
      <w:spacing w:val="5"/>
      <w:kern w:val="28"/>
      <w:sz w:val="28"/>
    </w:rPr>
  </w:style>
  <w:style w:type="paragraph" w:customStyle="1" w:styleId="52">
    <w:name w:val="acbfdd8b-e11b-4d36-88ff-6049b138f862"/>
    <w:basedOn w:val="1"/>
    <w:link w:val="55"/>
    <w:qFormat/>
    <w:uiPriority w:val="0"/>
    <w:pPr>
      <w:spacing w:before="0" w:line="288" w:lineRule="auto"/>
      <w:jc w:val="left"/>
    </w:pPr>
    <w:rPr>
      <w:rFonts w:ascii="微软雅黑" w:hAnsi="微软雅黑" w:eastAsia="微软雅黑" w:cs="Calibri"/>
      <w:color w:val="000000"/>
      <w:spacing w:val="5"/>
      <w:kern w:val="28"/>
      <w:sz w:val="22"/>
      <w:szCs w:val="52"/>
    </w:rPr>
  </w:style>
  <w:style w:type="character" w:customStyle="1" w:styleId="53">
    <w:name w:val="标题 1 字符"/>
    <w:basedOn w:val="45"/>
    <w:link w:val="2"/>
    <w:qFormat/>
    <w:uiPriority w:val="0"/>
    <w:rPr>
      <w:rFonts w:ascii="Arial" w:hAnsi="Arial" w:cs="Arial" w:eastAsiaTheme="majorEastAsia"/>
      <w:spacing w:val="5"/>
      <w:kern w:val="28"/>
      <w:sz w:val="28"/>
      <w:szCs w:val="52"/>
      <w:lang w:eastAsia="ja-JP"/>
    </w:rPr>
  </w:style>
  <w:style w:type="character" w:customStyle="1" w:styleId="54">
    <w:name w:val="71e7dc79-1ff7-45e8-997d-0ebda3762b91 字符"/>
    <w:basedOn w:val="53"/>
    <w:link w:val="51"/>
    <w:qFormat/>
    <w:uiPriority w:val="0"/>
    <w:rPr>
      <w:rFonts w:ascii="微软雅黑" w:hAnsi="微软雅黑" w:eastAsia="微软雅黑" w:cs="Calibri"/>
      <w:iCs/>
      <w:color w:val="000000"/>
      <w:spacing w:val="5"/>
      <w:kern w:val="28"/>
      <w:sz w:val="28"/>
      <w:szCs w:val="28"/>
      <w:lang w:val="de-DE" w:eastAsia="ja-JP"/>
    </w:rPr>
  </w:style>
  <w:style w:type="character" w:customStyle="1" w:styleId="55">
    <w:name w:val="acbfdd8b-e11b-4d36-88ff-6049b138f862 字符"/>
    <w:basedOn w:val="53"/>
    <w:link w:val="52"/>
    <w:qFormat/>
    <w:uiPriority w:val="0"/>
    <w:rPr>
      <w:rFonts w:ascii="微软雅黑" w:hAnsi="微软雅黑" w:eastAsia="微软雅黑" w:cs="Calibri"/>
      <w:b w:val="0"/>
      <w:color w:val="000000"/>
      <w:spacing w:val="5"/>
      <w:kern w:val="28"/>
      <w:sz w:val="22"/>
      <w:szCs w:val="52"/>
      <w:lang w:val="de-DE" w:eastAsia="ja-JP"/>
    </w:rPr>
  </w:style>
  <w:style w:type="character" w:customStyle="1" w:styleId="56">
    <w:name w:val="Unresolved Mention"/>
    <w:basedOn w:val="2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5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60760E41C7EFA448A0B0B3F4ECBBE11" ma:contentTypeVersion="12" ma:contentTypeDescription="新建文档。" ma:contentTypeScope="" ma:versionID="12f6dc9db01f758648b3c66479d9d49c">
  <xsd:schema xmlns:xsd="http://www.w3.org/2001/XMLSchema" xmlns:xs="http://www.w3.org/2001/XMLSchema" xmlns:p="http://schemas.microsoft.com/office/2006/metadata/properties" xmlns:ns2="a2a3ab70-b785-46f3-a9b1-896f671023df" xmlns:ns3="9a1f50a8-4d86-4c96-836c-b461f75ac730" targetNamespace="http://schemas.microsoft.com/office/2006/metadata/properties" ma:root="true" ma:fieldsID="7724ffe6c784929f617e02bb132cf388" ns2:_="" ns3:_="">
    <xsd:import namespace="a2a3ab70-b785-46f3-a9b1-896f671023df"/>
    <xsd:import namespace="9a1f50a8-4d86-4c96-836c-b461f75ac7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3ab70-b785-46f3-a9b1-896f67102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831eb38-23e5-4503-b99f-46c5b0655b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1f50a8-4d86-4c96-836c-b461f75ac73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654d31-ed50-4482-80bb-c59ac8e1635c}" ma:internalName="TaxCatchAll" ma:showField="CatchAllData" ma:web="9a1f50a8-4d86-4c96-836c-b461f75ac7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1f50a8-4d86-4c96-836c-b461f75ac730" xsi:nil="true"/>
    <lcf76f155ced4ddcb4097134ff3c332f xmlns="a2a3ab70-b785-46f3-a9b1-896f671023d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0B1CC1-C872-445B-A8A9-BE1E055E7DB8}">
  <ds:schemaRefs/>
</ds:datastoreItem>
</file>

<file path=customXml/itemProps3.xml><?xml version="1.0" encoding="utf-8"?>
<ds:datastoreItem xmlns:ds="http://schemas.openxmlformats.org/officeDocument/2006/customXml" ds:itemID="{28581E75-7F20-41B4-88BF-9C1CFB589674}">
  <ds:schemaRefs/>
</ds:datastoreItem>
</file>

<file path=customXml/itemProps4.xml><?xml version="1.0" encoding="utf-8"?>
<ds:datastoreItem xmlns:ds="http://schemas.openxmlformats.org/officeDocument/2006/customXml" ds:itemID="{7D27AB71-F452-49E9-AC7A-23E8F2A86060}">
  <ds:schemaRefs/>
</ds:datastoreItem>
</file>

<file path=customXml/itemProps5.xml><?xml version="1.0" encoding="utf-8"?>
<ds:datastoreItem xmlns:ds="http://schemas.openxmlformats.org/officeDocument/2006/customXml" ds:itemID="{C843FEFF-9167-4076-8BA7-8815168DD2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1444</Words>
  <Characters>2282</Characters>
  <Lines>339</Lines>
  <Paragraphs>383</Paragraphs>
  <TotalTime>58</TotalTime>
  <ScaleCrop>false</ScaleCrop>
  <LinksUpToDate>false</LinksUpToDate>
  <CharactersWithSpaces>2409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2025-08-05T05:23:00Z</dcterms:created>
  <dc:creator>Kiki</dc:creator>
  <cp:lastModifiedBy>Rough saint</cp:lastModifiedBy>
  <cp:lastPrinted>2025-08-08T09:18:00Z</cp:lastPrinted>
  <dcterms:modified xsi:type="dcterms:W3CDTF">2026-06-17T07:48:19Z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0x010100160760E41C7EFA448A0B0B3F4ECBBE11</vt:lpwstr>
  </property>
  <property fmtid="{D5CDD505-2E9C-101B-9397-08002B2CF9AE}" pid="3" name="KSOTemplateDocerSaveRecord">
    <vt:lpwstr>eyJoZGlkIjoiODZlNTEyN2QwOTEwYWNmNzZkNzFlMzI5NmY0MjEyOTgiLCJ1c2VySWQiOiI2MzQ1MzI0NjAifQ==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303762E8E8EE45E7AF31A38754C0D09C_13</vt:lpwstr>
  </property>
</Properties>
</file>