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yanYD_0822_Alpha_GT_26_1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0822_Alpha_GT_26_1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46.68%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3.85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6.79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6.39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5.59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3.31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6.8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4.43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5.18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3.41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6.26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1.04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-0.99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1.39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