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yanYD_0810_Alpha_GT_07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0810_Alpha_GT_07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49.25%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2.39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3.86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1.28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6.81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8.02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5.79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6.87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3.59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6.25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5.76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3.93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4.8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