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66443"/>
        </w:rPr>
        <w:t>PUBLIC DEMO / 身份无关演示材料</w:t>
      </w:r>
    </w:p>
    <w:p>
      <w:pPr>
        <w:spacing w:before="960"/>
      </w:pPr>
      <w:r>
        <w:rPr>
          <w:rFonts w:ascii="FandolHei" w:hAnsi="FandolHei"/>
          <w:b/>
          <w:color w:val="168A82"/>
          <w:sz w:val="34"/>
        </w:rPr>
        <w:t>生命科学实验</w:t>
      </w:r>
    </w:p>
    <w:p>
      <w:pPr>
        <w:pStyle w:val="Title"/>
      </w:pPr>
      <w:r>
        <w:t>过敏原蛋白 ELISA</w:t>
        <w:br/>
        <w:t>定量检测</w:t>
      </w:r>
    </w:p>
    <w:p>
      <w:pPr>
        <w:spacing w:after="560"/>
      </w:pPr>
      <w:r>
        <w:rPr>
          <w:color w:val="5D6B73"/>
          <w:sz w:val="26"/>
        </w:rPr>
        <w:t>用标准曲线验证证据链与教师复核的完全合成案例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课程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生命科学实验实验方法（公开演示课程）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DEMO-ALLERGEN-001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提交身份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匿名学生样例（无真实身份）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报告日期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 年 7 月 26 日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rPr>
                <w:b/>
              </w:rPr>
              <w:t>使用范围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GOAI 2026 · AI+教育 Demo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来源声明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本报告的样本、数值、图表和身份均为人工构造。案例只模拟花生过敏原蛋白 Ara h 1 的教学检测，不对应患者、食品安全结论或医学诊断。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66443"/>
        </w:rPr>
        <w:t xml:space="preserve">01  </w:t>
      </w:r>
      <w:r>
        <w:t>实验目标与原理</w:t>
      </w:r>
    </w:p>
    <w:p>
      <w:r>
        <w:t>实验目标：使用夹心 ELISA 的合成教学数据建立 Ara h 1 标准曲线，估算三个模拟食品样本的蛋白浓度，并检查空白、阳性和基质对照是否支持结果解释。</w:t>
      </w:r>
    </w:p>
    <w:p>
      <w:r>
        <w:t>实验原理：样本中的目标蛋白与包被抗体结合，再由检测抗体和显色反应形成 OD450 信号。在限定区间内，信号随浓度增加而上升，可通过标准曲线完成教学用定量估算。</w:t>
      </w:r>
    </w:p>
    <w:p>
      <w:pPr>
        <w:pStyle w:val="Heading1"/>
      </w:pPr>
      <w:r>
        <w:rPr>
          <w:color w:val="D66443"/>
        </w:rPr>
        <w:t xml:space="preserve">02  </w:t>
      </w:r>
      <w:r>
        <w:t>实验方法与过程</w:t>
      </w:r>
    </w:p>
    <w:p>
      <w:r>
        <w:t>实验环境：96 孔板、教学用模拟标准品、空白对照、阳性对照和三种模拟食品提取液；每个标准点设置两个复孔，显色 12 min 后读取 OD450。</w:t>
      </w:r>
    </w:p>
    <w:p>
      <w:r>
        <w:t>实验方法：依次完成加样、孵育、洗板、检测抗体、显色和终止步骤。标准品浓度为 0、2、5、10、20、40 ng·mL⁻¹；样本结果按同一批次标准曲线换算。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关键控制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证据</w:t>
            </w:r>
          </w:p>
        </w:tc>
      </w:tr>
      <w:tr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标准品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六点、双复孔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浓度与 OD450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标准曲线</w:t>
            </w:r>
          </w:p>
        </w:tc>
      </w:tr>
      <w:tr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空白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不加目标蛋白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OD450 &lt; 0.10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背景检查</w:t>
            </w:r>
          </w:p>
        </w:tc>
      </w:tr>
      <w:tr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阳性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已知教学浓度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回收率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流程有效性</w:t>
            </w:r>
          </w:p>
        </w:tc>
      </w:tr>
      <w:tr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样本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统一稀释倍数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双复孔均值</w:t>
            </w:r>
          </w:p>
        </w:tc>
        <w:tc>
          <w:tcPr>
            <w:tcW w:type="dxa" w:w="241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浓度估算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66443"/>
        </w:rPr>
        <w:t xml:space="preserve">03  </w:t>
      </w:r>
      <w:r>
        <w:t>实验数据与结果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复孔 1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复孔 2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均值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E59"/>
          </w:tcPr>
          <w:p>
            <w:pPr>
              <w:jc w:val="center"/>
            </w:pPr>
            <w:r>
              <w:rPr>
                <w:b/>
                <w:color w:val="FFFFFF"/>
              </w:rPr>
              <w:t>估算浓度</w:t>
            </w:r>
          </w:p>
        </w:tc>
      </w:tr>
      <w:tr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空白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0.05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0.06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0.055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未检出</w:t>
            </w:r>
          </w:p>
        </w:tc>
      </w:tr>
      <w:tr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阳性对照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0.79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0.805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约 10.0 ng·mL⁻¹</w:t>
            </w:r>
          </w:p>
        </w:tc>
      </w:tr>
      <w:tr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模拟样本 A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0.11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0.13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约 1.0 ng·mL⁻¹</w:t>
            </w:r>
          </w:p>
        </w:tc>
      </w:tr>
      <w:tr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模拟样本 B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1.18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1.23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1.205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约 15.5 ng·mL⁻¹</w:t>
            </w:r>
          </w:p>
        </w:tc>
      </w:tr>
      <w:tr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模拟样本 C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2.31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2.38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2.345</w:t>
            </w:r>
          </w:p>
        </w:tc>
        <w:tc>
          <w:tcPr>
            <w:tcW w:type="dxa" w:w="193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t>约 38.5 ng·mL⁻¹</w:t>
            </w:r>
          </w:p>
        </w:tc>
      </w:tr>
    </w:tbl>
    <w:p>
      <w:pPr>
        <w:jc w:val="center"/>
      </w:pPr>
      <w:r>
        <w:t>表 1  模拟样本 OD450 与浓度估算（完全合成）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8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ergen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合成标准曲线</w:t>
      </w:r>
    </w:p>
    <w:p>
      <w:r>
        <w:t>实验数据：标准曲线随浓度单调上升，空白低于 0.10，阳性对照接近教学设定值。模拟样本 B、C 的信号明显高于样本 A。</w:t>
      </w:r>
    </w:p>
    <w:p>
      <w:r>
        <w:br w:type="page"/>
      </w:r>
    </w:p>
    <w:p>
      <w:pPr>
        <w:pStyle w:val="Heading1"/>
      </w:pPr>
      <w:r>
        <w:rPr>
          <w:color w:val="D66443"/>
        </w:rPr>
        <w:t xml:space="preserve">04  </w:t>
      </w:r>
      <w:r>
        <w:t>结果分析与验证</w:t>
      </w:r>
    </w:p>
    <w:p>
      <w:r>
        <w:t>结果分析：空白和阳性对照表现正常，说明本次模拟流程基本有效。样本 C 的估算浓度最高，样本 A 接近曲线低端。</w:t>
      </w:r>
    </w:p>
    <w:p>
      <w:r>
        <w:t>误差分析：当前报告只比较了两个复孔，没有计算变异系数，也没有进行加标回收和不同稀释倍数验证。样本 C 接近曲线上限，是否需要重新稀释仍应由教师结合课程要求判断。</w:t>
      </w:r>
    </w:p>
    <w:p>
      <w:pPr>
        <w:pStyle w:val="Heading1"/>
      </w:pPr>
      <w:r>
        <w:rPr>
          <w:color w:val="D66443"/>
        </w:rPr>
        <w:t xml:space="preserve">05  </w:t>
      </w:r>
      <w:r>
        <w:t>实验结论与反思</w:t>
      </w:r>
    </w:p>
    <w:p>
      <w:r>
        <w:t>实验结论：本次教学实验完成了标准曲线和三个模拟样本的浓度估算，对照结果支持基本流程有效。</w:t>
      </w:r>
    </w:p>
    <w:p>
      <w:r>
        <w:t>改进方向：增加复孔数量并计算变异系数；对高值样本追加稀释复测；用加标回收验证基质影响。任何结果都不得用于真实过敏诊断或食品安全判断。</w:t>
      </w:r>
    </w:p>
    <w:p>
      <w:pPr>
        <w:pStyle w:val="Heading1"/>
      </w:pPr>
      <w:r>
        <w:rPr>
          <w:color w:val="D66443"/>
        </w:rPr>
        <w:t xml:space="preserve">06  </w:t>
      </w:r>
      <w:r>
        <w:t>教师批阅区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200"/>
            </w:pPr>
            <w:r>
              <w:rPr>
                <w:b/>
              </w:rPr>
              <w:t>指导教师批阅意见：</w:t>
            </w:r>
          </w:p>
          <w:p>
            <w:pPr>
              <w:spacing w:after="200"/>
            </w:pPr>
            <w:r>
              <w:t>成绩评定：</w:t>
            </w:r>
          </w:p>
          <w:p>
            <w:pPr>
              <w:spacing w:after="200"/>
            </w:pPr>
            <w:r>
              <w:t>评语：</w:t>
            </w:r>
          </w:p>
          <w:p>
            <w:pPr>
              <w:spacing w:after="200"/>
            </w:pPr>
            <w:r>
              <w:t>指导教师签字：________________    日期：____年__月__日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71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A82"/>
          </w:tcPr>
          <w:p>
            <w:pPr>
              <w:jc w:val="center"/>
            </w:pPr>
            <w:r>
              <w:rPr>
                <w:b/>
                <w:color w:val="FFFFFF"/>
              </w:rPr>
              <w:t>教育边界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2"/>
          </w:tcPr>
          <w:p>
            <w:r>
              <w:t>本用例只验证证据化批改流程。AI 输出是辅助建议，正式成绩和反馈必须由教师确认。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dolHei" w:hAnsi="FandolHei"/>
        <w:color w:val="5D6B73"/>
        <w:sz w:val="16"/>
      </w:rPr>
      <w:t xml:space="preserve">格物智评公开演示 · 匿名合成用例    </w:t>
    </w:r>
    <w:r>
      <w:rPr>
        <w:rFonts w:ascii="FandolHei" w:hAnsi="FandolHei"/>
        <w:color w:val="5D6B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dolHei" w:hAnsi="FandolHei"/>
        <w:color w:val="5D6B73"/>
        <w:sz w:val="16"/>
      </w:rPr>
      <w:t>LABTRACE / SYNTHETIC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ndolHei" w:hAnsi="FandolHei" w:eastAsia="FandolHei" w:cs="FandolHe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FandolHei" w:hAnsi="FandolHei" w:eastAsia="FandolHei" w:cs="FandolHei"/>
      <w:color w:val="26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FandolHei" w:hAnsi="FandolHei" w:eastAsia="FandolHei" w:cs="FandolHei"/>
      <w:b/>
      <w:bCs/>
      <w:color w:val="173E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FandolHei" w:hAnsi="FandolHei" w:eastAsia="FandolHei" w:cs="FandolHei"/>
      <w:b/>
      <w:bCs/>
      <w:color w:val="173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FandolHei" w:hAnsi="FandolHei" w:eastAsia="FandolHei" w:cs="FandolHei"/>
      <w:b/>
      <w:bCs/>
      <w:color w:val="173E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FandolHei" w:hAnsi="FandolHei" w:eastAsia="FandolHei" w:cs="FandolHei"/>
      <w:b/>
      <w:color w:val="173E5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过敏原蛋白 ELISA 检测实验报告</dc:title>
  <dc:subject>完全合成生命科学教学案例，不涉及患者和医学诊断</dc:subject>
  <dc:creator/>
  <cp:keywords>synthetic, anonymized, labtrace, public demo</cp:keywords>
  <dc:description>Identity-free public demonstration fixture.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