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文档量子化技术方案</w:t>
      </w:r>
    </w:p>
    <w:p>
      <w:r>
        <w:t>专家评审版</w:t>
      </w:r>
    </w:p>
    <w:p>
      <w:pPr>
        <w:pStyle w:val="Heading1"/>
      </w:pPr>
      <w:r>
        <w:t>1. 背景与目标</w:t>
      </w:r>
    </w:p>
    <w:p>
      <w:r>
        <w:t>本方案面向能源计量行业，特别是电表、DLMS/COSEM、OBIS、xDLMS、SAP、HLS/LLS、COSEM interface class 等技术标准和产品需求文档。</w:t>
      </w:r>
    </w:p>
    <w:p>
      <w:r>
        <w:t>这里的“文档量子化”不是简单分段，而是将技术标准文档拆解为最小、可追溯、可验证、可由 AI 和专家共同复核的结构化需求单元。</w:t>
      </w:r>
    </w:p>
    <w:p>
      <w:r>
        <w:t>目标是建立一条可落地的需求解析流水线：</w:t>
      </w:r>
    </w:p>
    <w:p>
      <w:pPr>
        <w:spacing w:before="80" w:after="120"/>
        <w:ind w:left="216"/>
      </w:pPr>
      <w:r>
        <w:rPr>
          <w:rFonts w:ascii="Consolas" w:hAnsi="Consolas"/>
          <w:sz w:val="18"/>
        </w:rPr>
        <w:t>原始 Word 标准文档</w:t>
        <w:br/>
        <w:t>-&gt; 文档结构块</w:t>
        <w:br/>
        <w:t>-&gt; 表格语义结构</w:t>
        <w:br/>
        <w:t>-&gt; 行业知识库匹配</w:t>
        <w:br/>
        <w:t>-&gt; 原子需求候选</w:t>
        <w:br/>
        <w:t>-&gt; 大模型复核任务</w:t>
        <w:br/>
        <w:t>-&gt; 专家可审查需求清单</w:t>
      </w:r>
    </w:p>
    <w:p>
      <w:r>
        <w:t>该方案的核心原则是：</w:t>
      </w:r>
    </w:p>
    <w:p>
      <w:pPr>
        <w:pStyle w:val="ListBullet"/>
      </w:pPr>
      <w:r>
        <w:t>规则引擎负责高覆盖、可追溯、稳定的初步量子化。</w:t>
      </w:r>
    </w:p>
    <w:p>
      <w:pPr>
        <w:pStyle w:val="ListBullet"/>
      </w:pPr>
      <w:r>
        <w:t>大模型负责语义复核、纠错、合并、补漏。</w:t>
      </w:r>
    </w:p>
    <w:p>
      <w:pPr>
        <w:pStyle w:val="ListBullet"/>
      </w:pPr>
      <w:r>
        <w:t>专家负责最终确认高风险和标准解释类内容。</w:t>
      </w:r>
    </w:p>
    <w:p>
      <w:pPr>
        <w:pStyle w:val="Heading1"/>
      </w:pPr>
      <w:r>
        <w:t>2. 适用文档范围</w:t>
      </w:r>
    </w:p>
    <w:p>
      <w:r>
        <w:t>当前方案主要适用于 .docx 技术标准文档，尤其适合以下类型：</w:t>
      </w:r>
    </w:p>
    <w:p>
      <w:pPr>
        <w:pStyle w:val="ListBullet"/>
      </w:pPr>
      <w:r>
        <w:t>电表技术规范</w:t>
      </w:r>
    </w:p>
    <w:p>
      <w:pPr>
        <w:pStyle w:val="ListBullet"/>
      </w:pPr>
      <w:r>
        <w:t>DLMS/COSEM 标准或 profile 文档</w:t>
      </w:r>
    </w:p>
    <w:p>
      <w:pPr>
        <w:pStyle w:val="ListBullet"/>
      </w:pPr>
      <w:r>
        <w:t>ABNT、IEC、INMETRO 等标准文档</w:t>
      </w:r>
    </w:p>
    <w:p>
      <w:pPr>
        <w:pStyle w:val="ListBullet"/>
      </w:pPr>
      <w:r>
        <w:t>COSEM 对象表</w:t>
      </w:r>
    </w:p>
    <w:p>
      <w:pPr>
        <w:pStyle w:val="ListBullet"/>
      </w:pPr>
      <w:r>
        <w:t>COSEM 属性访问权限表</w:t>
      </w:r>
    </w:p>
    <w:p>
      <w:pPr>
        <w:pStyle w:val="ListBullet"/>
      </w:pPr>
      <w:r>
        <w:t>xDLMS 服务矩阵</w:t>
      </w:r>
    </w:p>
    <w:p>
      <w:pPr>
        <w:pStyle w:val="ListBullet"/>
      </w:pPr>
      <w:r>
        <w:t>安全策略表</w:t>
      </w:r>
    </w:p>
    <w:p>
      <w:pPr>
        <w:pStyle w:val="ListBullet"/>
      </w:pPr>
      <w:r>
        <w:t>安全套件表</w:t>
      </w:r>
    </w:p>
    <w:p>
      <w:pPr>
        <w:pStyle w:val="ListBullet"/>
      </w:pPr>
      <w:r>
        <w:t>事件编号表</w:t>
      </w:r>
    </w:p>
    <w:p>
      <w:pPr>
        <w:pStyle w:val="ListBullet"/>
      </w:pPr>
      <w:r>
        <w:t>计量量与单位表</w:t>
      </w:r>
    </w:p>
    <w:p>
      <w:pPr>
        <w:pStyle w:val="ListBullet"/>
      </w:pPr>
      <w:r>
        <w:t>profile status、flag、error、alarm 定义表</w:t>
      </w:r>
    </w:p>
    <w:p>
      <w:r>
        <w:t>当前验证样本文档：</w:t>
      </w:r>
    </w:p>
    <w:p>
      <w:pPr>
        <w:spacing w:before="80" w:after="120"/>
        <w:ind w:left="216"/>
      </w:pPr>
      <w:r>
        <w:rPr>
          <w:rFonts w:ascii="Consolas" w:hAnsi="Consolas"/>
          <w:sz w:val="18"/>
        </w:rPr>
        <w:t>Appendix 9-ABNT NBR 16968-2022 EN.docx</w:t>
      </w:r>
    </w:p>
    <w:p>
      <w:pPr>
        <w:pStyle w:val="Heading1"/>
      </w:pPr>
      <w:r>
        <w:t>3. 总体架构</w:t>
      </w:r>
    </w:p>
    <w:p>
      <w:r>
        <w:t>系统分为五层：</w:t>
      </w:r>
    </w:p>
    <w:p>
      <w:pPr>
        <w:spacing w:before="80" w:after="120"/>
        <w:ind w:left="216"/>
      </w:pPr>
      <w:r>
        <w:rPr>
          <w:rFonts w:ascii="Consolas" w:hAnsi="Consolas"/>
          <w:sz w:val="18"/>
        </w:rPr>
        <w:t>文档解析层</w:t>
        <w:br/>
        <w:t>-&gt; 表格语义增强层</w:t>
        <w:br/>
        <w:t>-&gt; 行业知识库匹配层</w:t>
        <w:br/>
        <w:t>-&gt; 原子需求生成层</w:t>
        <w:br/>
        <w:t>-&gt; AI/专家复核层</w:t>
      </w:r>
    </w:p>
    <w:p>
      <w:pPr>
        <w:pStyle w:val="Heading2"/>
      </w:pPr>
      <w:r>
        <w:t>3.1 文档解析层</w:t>
      </w:r>
    </w:p>
    <w:p>
      <w:r>
        <w:t>负责从 Word 文档中提取：</w:t>
      </w:r>
    </w:p>
    <w:p>
      <w:pPr>
        <w:pStyle w:val="ListBullet"/>
      </w:pPr>
      <w:r>
        <w:t>标题</w:t>
      </w:r>
    </w:p>
    <w:p>
      <w:pPr>
        <w:pStyle w:val="ListBullet"/>
      </w:pPr>
      <w:r>
        <w:t>段落</w:t>
      </w:r>
    </w:p>
    <w:p>
      <w:pPr>
        <w:pStyle w:val="ListBullet"/>
      </w:pPr>
      <w:r>
        <w:t>表格</w:t>
      </w:r>
    </w:p>
    <w:p>
      <w:pPr>
        <w:pStyle w:val="ListBullet"/>
      </w:pPr>
      <w:r>
        <w:t>顺序编号</w:t>
      </w:r>
    </w:p>
    <w:p>
      <w:pPr>
        <w:pStyle w:val="ListBullet"/>
      </w:pPr>
      <w:r>
        <w:t>章节路径</w:t>
      </w:r>
    </w:p>
    <w:p>
      <w:pPr>
        <w:pStyle w:val="ListBullet"/>
      </w:pPr>
      <w:r>
        <w:t>文档区域，例如正文、前言、目录等</w:t>
      </w:r>
    </w:p>
    <w:p>
      <w:r>
        <w:t>输出文件：</w:t>
      </w:r>
    </w:p>
    <w:p>
      <w:pPr>
        <w:spacing w:before="80" w:after="120"/>
        <w:ind w:left="216"/>
      </w:pPr>
      <w:r>
        <w:rPr>
          <w:rFonts w:ascii="Consolas" w:hAnsi="Consolas"/>
          <w:sz w:val="18"/>
        </w:rPr>
        <w:t>blocks.jsonl</w:t>
      </w:r>
    </w:p>
    <w:p>
      <w:pPr>
        <w:pStyle w:val="Heading2"/>
      </w:pPr>
      <w:r>
        <w:t>3.2 表格语义增强层</w:t>
      </w:r>
    </w:p>
    <w:p>
      <w:r>
        <w:t>负责处理标准文档中大量复杂表格。</w:t>
      </w:r>
    </w:p>
    <w:p>
      <w:r>
        <w:t>当前支持：</w:t>
      </w:r>
    </w:p>
    <w:p>
      <w:pPr>
        <w:pStyle w:val="ListBullet"/>
      </w:pPr>
      <w:r>
        <w:t>多行表头识别</w:t>
      </w:r>
    </w:p>
    <w:p>
      <w:pPr>
        <w:pStyle w:val="ListBullet"/>
      </w:pPr>
      <w:r>
        <w:t>重复表头去重</w:t>
      </w:r>
    </w:p>
    <w:p>
      <w:pPr>
        <w:pStyle w:val="ListBullet"/>
      </w:pPr>
      <w:r>
        <w:t>表格行结构化</w:t>
      </w:r>
    </w:p>
    <w:p>
      <w:pPr>
        <w:pStyle w:val="ListBullet"/>
      </w:pPr>
      <w:r>
        <w:t>`X` 标记矩阵解析</w:t>
      </w:r>
    </w:p>
    <w:p>
      <w:pPr>
        <w:pStyle w:val="ListBullet"/>
      </w:pPr>
      <w:r>
        <w:t>非 `X` 值矩阵解析</w:t>
      </w:r>
    </w:p>
    <w:p>
      <w:pPr>
        <w:pStyle w:val="ListBullet"/>
      </w:pPr>
      <w:r>
        <w:t>COSEM 对象上下文继承</w:t>
      </w:r>
    </w:p>
    <w:p>
      <w:pPr>
        <w:pStyle w:val="ListBullet"/>
      </w:pPr>
      <w:r>
        <w:t>RC/PC/SC/LC 访问权限拆解</w:t>
      </w:r>
    </w:p>
    <w:p>
      <w:r>
        <w:t>输出文件：</w:t>
      </w:r>
    </w:p>
    <w:p>
      <w:pPr>
        <w:spacing w:before="80" w:after="120"/>
        <w:ind w:left="216"/>
      </w:pPr>
      <w:r>
        <w:rPr>
          <w:rFonts w:ascii="Consolas" w:hAnsi="Consolas"/>
          <w:sz w:val="18"/>
        </w:rPr>
        <w:t>table_items.jsonl</w:t>
      </w:r>
    </w:p>
    <w:p>
      <w:pPr>
        <w:pStyle w:val="Heading2"/>
      </w:pPr>
      <w:r>
        <w:t>3.3 行业知识库匹配层</w:t>
      </w:r>
    </w:p>
    <w:p>
      <w:r>
        <w:t>知识库以 Obsidian Markdown 作为人工维护源，以 JSON 作为运行时格式。</w:t>
      </w:r>
    </w:p>
    <w:p>
      <w:pPr>
        <w:spacing w:before="80" w:after="120"/>
        <w:ind w:left="216"/>
      </w:pPr>
      <w:r>
        <w:rPr>
          <w:rFonts w:ascii="Consolas" w:hAnsi="Consolas"/>
          <w:sz w:val="18"/>
        </w:rPr>
        <w:t>Obsidian Markdown Vault</w:t>
        <w:br/>
        <w:t>-&gt; compiled JSON KB</w:t>
        <w:br/>
        <w:t>-&gt; Python API / CLI / HTTP API</w:t>
        <w:br/>
        <w:t>-&gt; Atomizer / Agent / Windows App</w:t>
      </w:r>
    </w:p>
    <w:p>
      <w:r>
        <w:t>知识库用于识别：</w:t>
      </w:r>
    </w:p>
    <w:p>
      <w:pPr>
        <w:pStyle w:val="ListBullet"/>
      </w:pPr>
      <w:r>
        <w:t>DLMS</w:t>
      </w:r>
    </w:p>
    <w:p>
      <w:pPr>
        <w:pStyle w:val="ListBullet"/>
      </w:pPr>
      <w:r>
        <w:t>COSEM</w:t>
      </w:r>
    </w:p>
    <w:p>
      <w:pPr>
        <w:pStyle w:val="ListBullet"/>
      </w:pPr>
      <w:r>
        <w:t>OBIS</w:t>
      </w:r>
    </w:p>
    <w:p>
      <w:pPr>
        <w:pStyle w:val="ListBullet"/>
      </w:pPr>
      <w:r>
        <w:t>IEC 62056</w:t>
      </w:r>
    </w:p>
    <w:p>
      <w:pPr>
        <w:pStyle w:val="ListBullet"/>
      </w:pPr>
      <w:r>
        <w:t>xDLMS services</w:t>
      </w:r>
    </w:p>
    <w:p>
      <w:pPr>
        <w:pStyle w:val="ListBullet"/>
      </w:pPr>
      <w:r>
        <w:t>COSEM class</w:t>
      </w:r>
    </w:p>
    <w:p>
      <w:pPr>
        <w:pStyle w:val="ListBullet"/>
      </w:pPr>
      <w:r>
        <w:t>SAP</w:t>
      </w:r>
    </w:p>
    <w:p>
      <w:pPr>
        <w:pStyle w:val="ListBullet"/>
      </w:pPr>
      <w:r>
        <w:t>Association</w:t>
      </w:r>
    </w:p>
    <w:p>
      <w:pPr>
        <w:pStyle w:val="ListBullet"/>
      </w:pPr>
      <w:r>
        <w:t>HLS / LLS</w:t>
      </w:r>
    </w:p>
    <w:p>
      <w:pPr>
        <w:pStyle w:val="ListBullet"/>
      </w:pPr>
      <w:r>
        <w:t>Security Suite</w:t>
      </w:r>
    </w:p>
    <w:p>
      <w:pPr>
        <w:pStyle w:val="ListBullet"/>
      </w:pPr>
      <w:r>
        <w:t>Access rights RC/PC/SC/LC</w:t>
      </w:r>
    </w:p>
    <w:p>
      <w:pPr>
        <w:pStyle w:val="ListBullet"/>
      </w:pPr>
      <w:r>
        <w:t>Load profile</w:t>
      </w:r>
    </w:p>
    <w:p>
      <w:pPr>
        <w:pStyle w:val="ListBullet"/>
      </w:pPr>
      <w:r>
        <w:t>Billing profile</w:t>
      </w:r>
    </w:p>
    <w:p>
      <w:pPr>
        <w:pStyle w:val="ListBullet"/>
      </w:pPr>
      <w:r>
        <w:t>Event log</w:t>
      </w:r>
    </w:p>
    <w:p>
      <w:pPr>
        <w:pStyle w:val="ListBullet"/>
      </w:pPr>
      <w:r>
        <w:t>Alarm / Error</w:t>
      </w:r>
    </w:p>
    <w:p>
      <w:pPr>
        <w:pStyle w:val="Heading2"/>
      </w:pPr>
      <w:r>
        <w:t>3.4 原子需求生成层</w:t>
      </w:r>
    </w:p>
    <w:p>
      <w:r>
        <w:t>规则引擎基于文档结构、表格语义和知识库匹配结果，生成可复核的候选原子需求。</w:t>
      </w:r>
    </w:p>
    <w:p>
      <w:r>
        <w:t>输出文件：</w:t>
      </w:r>
    </w:p>
    <w:p>
      <w:pPr>
        <w:spacing w:before="80" w:after="120"/>
        <w:ind w:left="216"/>
      </w:pPr>
      <w:r>
        <w:rPr>
          <w:rFonts w:ascii="Consolas" w:hAnsi="Consolas"/>
          <w:sz w:val="18"/>
        </w:rPr>
        <w:t>atomic_requirements.jsonl</w:t>
      </w:r>
    </w:p>
    <w:p>
      <w:pPr>
        <w:pStyle w:val="Heading2"/>
      </w:pPr>
      <w:r>
        <w:t>3.5 AI/专家复核层</w:t>
      </w:r>
    </w:p>
    <w:p>
      <w:r>
        <w:t>系统同时生成大模型复核任务。</w:t>
      </w:r>
    </w:p>
    <w:p>
      <w:r>
        <w:t>输出文件：</w:t>
      </w:r>
    </w:p>
    <w:p>
      <w:pPr>
        <w:spacing w:before="80" w:after="120"/>
        <w:ind w:left="216"/>
      </w:pPr>
      <w:r>
        <w:rPr>
          <w:rFonts w:ascii="Consolas" w:hAnsi="Consolas"/>
          <w:sz w:val="18"/>
        </w:rPr>
        <w:t>llm_tasks.jsonl</w:t>
      </w:r>
    </w:p>
    <w:p>
      <w:r>
        <w:t>推荐流程：</w:t>
      </w:r>
    </w:p>
    <w:p>
      <w:pPr>
        <w:spacing w:before="80" w:after="120"/>
        <w:ind w:left="216"/>
      </w:pPr>
      <w:r>
        <w:rPr>
          <w:rFonts w:ascii="Consolas" w:hAnsi="Consolas"/>
          <w:sz w:val="18"/>
        </w:rPr>
        <w:t>规则生成候选</w:t>
        <w:br/>
        <w:t>-&gt; 大模型复核、合并、补漏</w:t>
        <w:br/>
        <w:t>-&gt; 专家审核高风险项</w:t>
        <w:br/>
        <w:t>-&gt; 最终需求库</w:t>
      </w:r>
    </w:p>
    <w:p>
      <w:pPr>
        <w:pStyle w:val="Heading1"/>
      </w:pPr>
      <w:r>
        <w:t>4. 核心输出文件</w:t>
      </w:r>
    </w:p>
    <w:p>
      <w:pPr>
        <w:pStyle w:val="Heading2"/>
      </w:pPr>
      <w:r>
        <w:t>4.1 blocks.jsonl</w:t>
      </w:r>
    </w:p>
    <w:p>
      <w:r>
        <w:t>文档块级输出。</w:t>
      </w:r>
    </w:p>
    <w:p>
      <w:r>
        <w:t>包含：</w:t>
      </w:r>
    </w:p>
    <w:p>
      <w:pPr>
        <w:pStyle w:val="ListBullet"/>
      </w:pPr>
      <w:r>
        <w:t>block_id</w:t>
      </w:r>
    </w:p>
    <w:p>
      <w:pPr>
        <w:pStyle w:val="ListBullet"/>
      </w:pPr>
      <w:r>
        <w:t>顺序号</w:t>
      </w:r>
    </w:p>
    <w:p>
      <w:pPr>
        <w:pStyle w:val="ListBullet"/>
      </w:pPr>
      <w:r>
        <w:t>类型：heading、paragraph、table</w:t>
      </w:r>
    </w:p>
    <w:p>
      <w:pPr>
        <w:pStyle w:val="ListBullet"/>
      </w:pPr>
      <w:r>
        <w:t>文本</w:t>
      </w:r>
    </w:p>
    <w:p>
      <w:pPr>
        <w:pStyle w:val="ListBullet"/>
      </w:pPr>
      <w:r>
        <w:t>章节路径</w:t>
      </w:r>
    </w:p>
    <w:p>
      <w:pPr>
        <w:pStyle w:val="ListBullet"/>
      </w:pPr>
      <w:r>
        <w:t>领域标签</w:t>
      </w:r>
    </w:p>
    <w:p>
      <w:pPr>
        <w:pStyle w:val="ListBullet"/>
      </w:pPr>
      <w:r>
        <w:t>知识库匹配</w:t>
      </w:r>
    </w:p>
    <w:p>
      <w:pPr>
        <w:pStyle w:val="ListBullet"/>
      </w:pPr>
      <w:r>
        <w:t>是否疑似需求</w:t>
      </w:r>
    </w:p>
    <w:p>
      <w:pPr>
        <w:pStyle w:val="Heading2"/>
      </w:pPr>
      <w:r>
        <w:t>4.2 chunks.jsonl</w:t>
      </w:r>
    </w:p>
    <w:p>
      <w:r>
        <w:t>面向 RAG 和大模型的上下文块。</w:t>
      </w:r>
    </w:p>
    <w:p>
      <w:r>
        <w:t>用途：</w:t>
      </w:r>
    </w:p>
    <w:p>
      <w:pPr>
        <w:pStyle w:val="ListBullet"/>
      </w:pPr>
      <w:r>
        <w:t>大模型复核</w:t>
      </w:r>
    </w:p>
    <w:p>
      <w:pPr>
        <w:pStyle w:val="ListBullet"/>
      </w:pPr>
      <w:r>
        <w:t>语义补漏</w:t>
      </w:r>
    </w:p>
    <w:p>
      <w:pPr>
        <w:pStyle w:val="ListBullet"/>
      </w:pPr>
      <w:r>
        <w:t>上下文检索</w:t>
      </w:r>
    </w:p>
    <w:p>
      <w:pPr>
        <w:pStyle w:val="ListBullet"/>
      </w:pPr>
      <w:r>
        <w:t>需求解释</w:t>
      </w:r>
    </w:p>
    <w:p>
      <w:pPr>
        <w:pStyle w:val="Heading2"/>
      </w:pPr>
      <w:r>
        <w:t>4.3 table_items.jsonl</w:t>
      </w:r>
    </w:p>
    <w:p>
      <w:r>
        <w:t>表格行级结构化输出。</w:t>
      </w:r>
    </w:p>
    <w:p>
      <w:r>
        <w:t>对于普通表格，输出字段：</w:t>
      </w:r>
    </w:p>
    <w:p>
      <w:pPr>
        <w:spacing w:before="80" w:after="120"/>
        <w:ind w:left="216"/>
      </w:pPr>
      <w:r>
        <w:rPr>
          <w:rFonts w:ascii="Consolas" w:hAnsi="Consolas"/>
          <w:sz w:val="18"/>
        </w:rPr>
        <w:t>{</w:t>
        <w:br/>
        <w:t xml:space="preserve">  "item_id": "TBL-000007-R000003",</w:t>
        <w:br/>
        <w:t xml:space="preserve">  "table_title": "Table 7 - Events",</w:t>
        <w:br/>
        <w:t xml:space="preserve">  "row_index": 3,</w:t>
        <w:br/>
        <w:t xml:space="preserve">  "fields": {</w:t>
        <w:br/>
        <w:t xml:space="preserve">    "Group number": "1",</w:t>
        <w:br/>
        <w:t xml:space="preserve">    "Subgroup number": "10",</w:t>
        <w:br/>
        <w:t xml:space="preserve">    "Event number": "1",</w:t>
        <w:br/>
        <w:t xml:space="preserve">    "Description of the event": "Reboot with data loss"</w:t>
        <w:br/>
        <w:t xml:space="preserve">  }</w:t>
        <w:br/>
        <w:t>}</w:t>
      </w:r>
    </w:p>
    <w:p>
      <w:r>
        <w:t>对于矩阵表，保留 matrix_facts：</w:t>
      </w:r>
    </w:p>
    <w:p>
      <w:pPr>
        <w:spacing w:before="80" w:after="120"/>
        <w:ind w:left="216"/>
      </w:pPr>
      <w:r>
        <w:rPr>
          <w:rFonts w:ascii="Consolas" w:hAnsi="Consolas"/>
          <w:sz w:val="18"/>
        </w:rPr>
        <w:t>{</w:t>
        <w:br/>
        <w:t xml:space="preserve">  "subject": "Public customer",</w:t>
        <w:br/>
        <w:t xml:space="preserve">  "predicate_header": "xDLMS Service / GET",</w:t>
        <w:br/>
        <w:t xml:space="preserve">  "marker": "X",</w:t>
        <w:br/>
        <w:t xml:space="preserve">  "relation": "allowed"</w:t>
        <w:br/>
        <w:t>}</w:t>
      </w:r>
    </w:p>
    <w:p>
      <w:r>
        <w:t>对于 COSEM 对象表，保留对象上下文：</w:t>
      </w:r>
    </w:p>
    <w:p>
      <w:pPr>
        <w:spacing w:before="80" w:after="120"/>
        <w:ind w:left="216"/>
      </w:pPr>
      <w:r>
        <w:rPr>
          <w:rFonts w:ascii="Consolas" w:hAnsi="Consolas"/>
          <w:sz w:val="18"/>
        </w:rPr>
        <w:t>{</w:t>
        <w:br/>
        <w:t xml:space="preserve">  "fields": {</w:t>
        <w:br/>
        <w:t xml:space="preserve">    "#": "1",</w:t>
        <w:br/>
        <w:t xml:space="preserve">    "Object/attribute name": "logical_name",</w:t>
        <w:br/>
        <w:t xml:space="preserve">    "Access rights RC/PC/SC/LC": "R-/R-/R-/R-"</w:t>
        <w:br/>
        <w:t xml:space="preserve">  },</w:t>
        <w:br/>
        <w:t xml:space="preserve">  "cosem_object_context": {</w:t>
        <w:br/>
        <w:t xml:space="preserve">    "object_name": "SAP Assignment",</w:t>
        <w:br/>
        <w:t xml:space="preserve">    "class_id": 17,</w:t>
        <w:br/>
        <w:t xml:space="preserve">    "obis": "0-0:41.0.0.255"</w:t>
        <w:br/>
        <w:t xml:space="preserve">  }</w:t>
        <w:br/>
        <w:t>}</w:t>
      </w:r>
    </w:p>
    <w:p>
      <w:pPr>
        <w:pStyle w:val="Heading2"/>
      </w:pPr>
      <w:r>
        <w:t>4.4 atomic_requirements.jsonl</w:t>
      </w:r>
    </w:p>
    <w:p>
      <w:r>
        <w:t>规则引擎生成的候选原子需求。</w:t>
      </w:r>
    </w:p>
    <w:p>
      <w:r>
        <w:t>示例：</w:t>
      </w:r>
    </w:p>
    <w:p>
      <w:pPr>
        <w:spacing w:before="80" w:after="120"/>
        <w:ind w:left="216"/>
      </w:pPr>
      <w:r>
        <w:rPr>
          <w:rFonts w:ascii="Consolas" w:hAnsi="Consolas"/>
          <w:sz w:val="18"/>
        </w:rPr>
        <w:t>{</w:t>
        <w:br/>
        <w:t xml:space="preserve">  "req_id": "AREQ-000063",</w:t>
        <w:br/>
        <w:t xml:space="preserve">  "source_type": "cosem_attribute_row",</w:t>
        <w:br/>
        <w:t xml:space="preserve">  "source_refs": ["BLK-000608", "TBL-000031-R000003"],</w:t>
        <w:br/>
        <w:t xml:space="preserve">  "domain": "cosem_object",</w:t>
        <w:br/>
        <w:t xml:space="preserve">  "object": "SAP Assignment.logical_name",</w:t>
        <w:br/>
        <w:t xml:space="preserve">  "requirement_type": "cosem_attribute_access",</w:t>
        <w:br/>
        <w:t xml:space="preserve">  "requirement": "COSEM attribute SAP Assignment.logical_name for SAP Assignment / CL 17 / OBIS 0-0:41.0.0.255 shall use access rights R-/R-/R-/R-.",</w:t>
        <w:br/>
        <w:t xml:space="preserve">  "verification_method": "configuration_check",</w:t>
        <w:br/>
        <w:t xml:space="preserve">  "ambiguity": false,</w:t>
        <w:br/>
        <w:t xml:space="preserve">  "confidence": 0.9</w:t>
        <w:br/>
        <w:t>}</w:t>
      </w:r>
    </w:p>
    <w:p>
      <w:pPr>
        <w:pStyle w:val="Heading2"/>
      </w:pPr>
      <w:r>
        <w:t>4.5 llm_tasks.jsonl</w:t>
      </w:r>
    </w:p>
    <w:p>
      <w:r>
        <w:t>大模型复核任务。</w:t>
      </w:r>
    </w:p>
    <w:p>
      <w:r>
        <w:t>用途：</w:t>
      </w:r>
    </w:p>
    <w:p>
      <w:pPr>
        <w:pStyle w:val="ListBullet"/>
      </w:pPr>
      <w:r>
        <w:t>纠错</w:t>
      </w:r>
    </w:p>
    <w:p>
      <w:pPr>
        <w:pStyle w:val="ListBullet"/>
      </w:pPr>
      <w:r>
        <w:t>合并重复需求</w:t>
      </w:r>
    </w:p>
    <w:p>
      <w:pPr>
        <w:pStyle w:val="ListBullet"/>
      </w:pPr>
      <w:r>
        <w:t>拆分过粗需求</w:t>
      </w:r>
    </w:p>
    <w:p>
      <w:pPr>
        <w:pStyle w:val="ListBullet"/>
      </w:pPr>
      <w:r>
        <w:t>补充遗漏需求</w:t>
      </w:r>
    </w:p>
    <w:p>
      <w:pPr>
        <w:pStyle w:val="ListBullet"/>
      </w:pPr>
      <w:r>
        <w:t>标记歧义和专家问题</w:t>
      </w:r>
    </w:p>
    <w:p>
      <w:pPr>
        <w:pStyle w:val="Heading2"/>
      </w:pPr>
      <w:r>
        <w:t>4.6 quality_report.json</w:t>
      </w:r>
    </w:p>
    <w:p>
      <w:r>
        <w:t>质量统计报告。</w:t>
      </w:r>
    </w:p>
    <w:p>
      <w:r>
        <w:t>包含：</w:t>
      </w:r>
    </w:p>
    <w:p>
      <w:pPr>
        <w:pStyle w:val="ListBullet"/>
      </w:pPr>
      <w:r>
        <w:t>原子需求总数</w:t>
      </w:r>
    </w:p>
    <w:p>
      <w:pPr>
        <w:pStyle w:val="ListBullet"/>
      </w:pPr>
      <w:r>
        <w:t>类型分布</w:t>
      </w:r>
    </w:p>
    <w:p>
      <w:pPr>
        <w:pStyle w:val="ListBullet"/>
      </w:pPr>
      <w:r>
        <w:t>来源分布</w:t>
      </w:r>
    </w:p>
    <w:p>
      <w:pPr>
        <w:pStyle w:val="ListBullet"/>
      </w:pPr>
      <w:r>
        <w:t>低置信需求数量</w:t>
      </w:r>
    </w:p>
    <w:p>
      <w:pPr>
        <w:pStyle w:val="ListBullet"/>
      </w:pPr>
      <w:r>
        <w:t>歧义需求数量</w:t>
      </w:r>
    </w:p>
    <w:p>
      <w:pPr>
        <w:pStyle w:val="ListBullet"/>
      </w:pPr>
      <w:r>
        <w:t>表格候选覆盖率</w:t>
      </w:r>
    </w:p>
    <w:p>
      <w:pPr>
        <w:pStyle w:val="ListBullet"/>
      </w:pPr>
      <w:r>
        <w:t>领域表格候选覆盖率</w:t>
      </w:r>
    </w:p>
    <w:p>
      <w:r>
        <w:t>示例：</w:t>
      </w:r>
    </w:p>
    <w:p>
      <w:pPr>
        <w:spacing w:before="80" w:after="120"/>
        <w:ind w:left="216"/>
      </w:pPr>
      <w:r>
        <w:rPr>
          <w:rFonts w:ascii="Consolas" w:hAnsi="Consolas"/>
          <w:sz w:val="18"/>
        </w:rPr>
        <w:t>{</w:t>
        <w:br/>
        <w:t xml:space="preserve">  "counts": {</w:t>
        <w:br/>
        <w:t xml:space="preserve">    "atomic_requirements": 2337,</w:t>
        <w:br/>
        <w:t xml:space="preserve">    "ambiguous_atomic_requirements": 6,</w:t>
        <w:br/>
        <w:t xml:space="preserve">    "low_confidence_atomic_requirements": 83</w:t>
        <w:br/>
        <w:t xml:space="preserve">  },</w:t>
        <w:br/>
        <w:t xml:space="preserve">  "coverage": {</w:t>
        <w:br/>
        <w:t xml:space="preserve">    "body_table_candidate_ratio": 0.9928,</w:t>
        <w:br/>
        <w:t xml:space="preserve">    "domain_table_candidate_ratio": 0.9966</w:t>
        <w:br/>
        <w:t xml:space="preserve">  }</w:t>
        <w:br/>
        <w:t>}</w:t>
      </w:r>
    </w:p>
    <w:p>
      <w:pPr>
        <w:pStyle w:val="Heading1"/>
      </w:pPr>
      <w:r>
        <w:t>5. 当前支持的原子需求类型</w:t>
      </w:r>
    </w:p>
    <w:p>
      <w:r>
        <w:t>当前已支持以下 requirement_type：</w:t>
      </w:r>
    </w:p>
    <w:p>
      <w:pPr>
        <w:spacing w:before="80" w:after="120"/>
        <w:ind w:left="216"/>
      </w:pPr>
      <w:r>
        <w:rPr>
          <w:rFonts w:ascii="Consolas" w:hAnsi="Consolas"/>
          <w:sz w:val="18"/>
        </w:rPr>
        <w:t>paragraph requirement</w:t>
        <w:br/>
        <w:t>capability_matrix</w:t>
        <w:br/>
        <w:t>association_security_matrix</w:t>
        <w:br/>
        <w:t>table_value_matrix</w:t>
        <w:br/>
        <w:t>cosem_object_instance</w:t>
        <w:br/>
        <w:t>cosem_attribute_access</w:t>
        <w:br/>
        <w:t>event_definition</w:t>
        <w:br/>
        <w:t>event_group_retention</w:t>
        <w:br/>
        <w:t>security_suite_definition</w:t>
        <w:br/>
        <w:t>security_policy_bit</w:t>
        <w:br/>
        <w:t>security_policy_state</w:t>
        <w:br/>
        <w:t>measurement_quantity_unit</w:t>
        <w:br/>
        <w:t>flag_definition</w:t>
      </w:r>
    </w:p>
    <w:p>
      <w:pPr>
        <w:pStyle w:val="Heading2"/>
      </w:pPr>
      <w:r>
        <w:t>5.1 capability_matrix</w:t>
      </w:r>
    </w:p>
    <w:p>
      <w:r>
        <w:t>用于 xDLMS 服务矩阵。</w:t>
      </w:r>
    </w:p>
    <w:p>
      <w:r>
        <w:t>示例：</w:t>
      </w:r>
    </w:p>
    <w:p>
      <w:pPr>
        <w:spacing w:before="80" w:after="120"/>
        <w:ind w:left="216"/>
      </w:pPr>
      <w:r>
        <w:rPr>
          <w:rFonts w:ascii="Consolas" w:hAnsi="Consolas"/>
          <w:sz w:val="18"/>
        </w:rPr>
        <w:t>Public customer shall support xDLMS Service: GET.</w:t>
      </w:r>
    </w:p>
    <w:p>
      <w:pPr>
        <w:pStyle w:val="Heading2"/>
      </w:pPr>
      <w:r>
        <w:t>5.2 association_security_matrix</w:t>
      </w:r>
    </w:p>
    <w:p>
      <w:r>
        <w:t>用于关联矩阵中的安全级别。</w:t>
      </w:r>
    </w:p>
    <w:p>
      <w:r>
        <w:t>示例：</w:t>
      </w:r>
    </w:p>
    <w:p>
      <w:pPr>
        <w:spacing w:before="80" w:after="120"/>
        <w:ind w:left="216"/>
      </w:pPr>
      <w:r>
        <w:rPr>
          <w:rFonts w:ascii="Consolas" w:hAnsi="Consolas"/>
          <w:sz w:val="18"/>
        </w:rPr>
        <w:t>Local and remote clients management and measurement shall have Management Logical Device set to High Level of Security (HLS).</w:t>
      </w:r>
    </w:p>
    <w:p>
      <w:pPr>
        <w:pStyle w:val="Heading2"/>
      </w:pPr>
      <w:r>
        <w:t>5.3 cosem_object_instance</w:t>
      </w:r>
    </w:p>
    <w:p>
      <w:r>
        <w:t>用于 COSEM 对象实例定义。</w:t>
      </w:r>
    </w:p>
    <w:p>
      <w:r>
        <w:t>示例：</w:t>
      </w:r>
    </w:p>
    <w:p>
      <w:pPr>
        <w:spacing w:before="80" w:after="120"/>
        <w:ind w:left="216"/>
      </w:pPr>
      <w:r>
        <w:rPr>
          <w:rFonts w:ascii="Consolas" w:hAnsi="Consolas"/>
          <w:sz w:val="18"/>
        </w:rPr>
        <w:t>COSEM object SAP Assignment / CL 17 / OBIS 0-0:41.0.0.255 shall be defined by the profile.</w:t>
      </w:r>
    </w:p>
    <w:p>
      <w:pPr>
        <w:pStyle w:val="Heading2"/>
      </w:pPr>
      <w:r>
        <w:t>5.4 cosem_attribute_access</w:t>
      </w:r>
    </w:p>
    <w:p>
      <w:r>
        <w:t>用于 COSEM 属性访问权限。</w:t>
      </w:r>
    </w:p>
    <w:p>
      <w:r>
        <w:t>示例：</w:t>
      </w:r>
    </w:p>
    <w:p>
      <w:pPr>
        <w:spacing w:before="80" w:after="120"/>
        <w:ind w:left="216"/>
      </w:pPr>
      <w:r>
        <w:rPr>
          <w:rFonts w:ascii="Consolas" w:hAnsi="Consolas"/>
          <w:sz w:val="18"/>
        </w:rPr>
        <w:t>COSEM attribute SAP Assignment.logical_name for SAP Assignment / CL 17 / OBIS 0-0:41.0.0.255 shall use access rights R-/R-/R-/R-.</w:t>
      </w:r>
    </w:p>
    <w:p>
      <w:r>
        <w:t>并拆解为：</w:t>
      </w:r>
    </w:p>
    <w:p>
      <w:pPr>
        <w:spacing w:before="80" w:after="120"/>
        <w:ind w:left="216"/>
      </w:pPr>
      <w:r>
        <w:rPr>
          <w:rFonts w:ascii="Consolas" w:hAnsi="Consolas"/>
          <w:sz w:val="18"/>
        </w:rPr>
        <w:t>{</w:t>
        <w:br/>
        <w:t xml:space="preserve">  "access_rights_by_client": {</w:t>
        <w:br/>
        <w:t xml:space="preserve">    "clients": [</w:t>
        <w:br/>
        <w:t xml:space="preserve">      {"client": "RC", "code": "R-", "read": true, "write": false, "allowed": true},</w:t>
        <w:br/>
        <w:t xml:space="preserve">      {"client": "PC", "code": "R-", "read": true, "write": false, "allowed": true},</w:t>
        <w:br/>
        <w:t xml:space="preserve">      {"client": "SC", "code": "R-", "read": true, "write": false, "allowed": true},</w:t>
        <w:br/>
        <w:t xml:space="preserve">      {"client": "LC", "code": "R-", "read": true, "write": false, "allowed": true}</w:t>
        <w:br/>
        <w:t xml:space="preserve">    ]</w:t>
        <w:br/>
        <w:t xml:space="preserve">  }</w:t>
        <w:br/>
        <w:t>}</w:t>
      </w:r>
    </w:p>
    <w:p>
      <w:pPr>
        <w:pStyle w:val="Heading2"/>
      </w:pPr>
      <w:r>
        <w:t>5.5 event_definition</w:t>
      </w:r>
    </w:p>
    <w:p>
      <w:r>
        <w:t>用于事件编号定义。</w:t>
      </w:r>
    </w:p>
    <w:p>
      <w:r>
        <w:t>示例：</w:t>
      </w:r>
    </w:p>
    <w:p>
      <w:pPr>
        <w:spacing w:before="80" w:after="120"/>
        <w:ind w:left="216"/>
      </w:pPr>
      <w:r>
        <w:rPr>
          <w:rFonts w:ascii="Consolas" w:hAnsi="Consolas"/>
          <w:sz w:val="18"/>
        </w:rPr>
        <w:t>Event G1-SG10-E1 shall be defined as: Reboot with data loss.</w:t>
      </w:r>
    </w:p>
    <w:p>
      <w:pPr>
        <w:pStyle w:val="Heading2"/>
      </w:pPr>
      <w:r>
        <w:t>5.6 event_group_retention</w:t>
      </w:r>
    </w:p>
    <w:p>
      <w:r>
        <w:t>用于事件组最小记录数。</w:t>
      </w:r>
    </w:p>
    <w:p>
      <w:r>
        <w:t>示例：</w:t>
      </w:r>
    </w:p>
    <w:p>
      <w:pPr>
        <w:spacing w:before="80" w:after="120"/>
        <w:ind w:left="216"/>
      </w:pPr>
      <w:r>
        <w:rPr>
          <w:rFonts w:ascii="Consolas" w:hAnsi="Consolas"/>
          <w:sz w:val="18"/>
        </w:rPr>
        <w:t>Event subgroup G1-SG10 shall keep at least 100 records for Non-special events.</w:t>
      </w:r>
    </w:p>
    <w:p>
      <w:pPr>
        <w:pStyle w:val="Heading2"/>
      </w:pPr>
      <w:r>
        <w:t>5.7 security_suite_definition</w:t>
      </w:r>
    </w:p>
    <w:p>
      <w:r>
        <w:t>用于安全套件定义。</w:t>
      </w:r>
    </w:p>
    <w:p>
      <w:r>
        <w:t>示例：</w:t>
      </w:r>
    </w:p>
    <w:p>
      <w:pPr>
        <w:spacing w:before="80" w:after="120"/>
        <w:ind w:left="216"/>
      </w:pPr>
      <w:r>
        <w:rPr>
          <w:rFonts w:ascii="Consolas" w:hAnsi="Consolas"/>
          <w:sz w:val="18"/>
        </w:rPr>
        <w:t>Security suite 1 shall be defined as ECDH-ECDSA-AES-GCM-128-SHA-256.</w:t>
      </w:r>
    </w:p>
    <w:p>
      <w:pPr>
        <w:pStyle w:val="Heading2"/>
      </w:pPr>
      <w:r>
        <w:t>5.8 security_policy_bit</w:t>
      </w:r>
    </w:p>
    <w:p>
      <w:r>
        <w:t>用于安全策略 bit 定义。</w:t>
      </w:r>
    </w:p>
    <w:p>
      <w:r>
        <w:t>示例：</w:t>
      </w:r>
    </w:p>
    <w:p>
      <w:pPr>
        <w:spacing w:before="80" w:after="120"/>
        <w:ind w:left="216"/>
      </w:pPr>
      <w:r>
        <w:rPr>
          <w:rFonts w:ascii="Consolas" w:hAnsi="Consolas"/>
          <w:sz w:val="18"/>
        </w:rPr>
        <w:t>Security policy bit 0 shall be defined as: Not used, must be set to "0".</w:t>
      </w:r>
    </w:p>
    <w:p>
      <w:pPr>
        <w:pStyle w:val="Heading2"/>
      </w:pPr>
      <w:r>
        <w:t>5.9 security_policy_state</w:t>
      </w:r>
    </w:p>
    <w:p>
      <w:r>
        <w:t>用于安全策略 state 定义。</w:t>
      </w:r>
    </w:p>
    <w:p>
      <w:r>
        <w:t>示例：</w:t>
      </w:r>
    </w:p>
    <w:p>
      <w:pPr>
        <w:spacing w:before="80" w:after="120"/>
        <w:ind w:left="216"/>
      </w:pPr>
      <w:r>
        <w:rPr>
          <w:rFonts w:ascii="Consolas" w:hAnsi="Consolas"/>
          <w:sz w:val="18"/>
        </w:rPr>
        <w:t>Security policy state 1 shall be defined as: All messages are authenticated.</w:t>
      </w:r>
    </w:p>
    <w:p>
      <w:pPr>
        <w:pStyle w:val="Heading2"/>
      </w:pPr>
      <w:r>
        <w:t>5.10 measurement_quantity_unit</w:t>
      </w:r>
    </w:p>
    <w:p>
      <w:r>
        <w:t>用于计量量和单位。</w:t>
      </w:r>
    </w:p>
    <w:p>
      <w:r>
        <w:t>示例：</w:t>
      </w:r>
    </w:p>
    <w:p>
      <w:pPr>
        <w:spacing w:before="80" w:after="120"/>
        <w:ind w:left="216"/>
      </w:pPr>
      <w:r>
        <w:rPr>
          <w:rFonts w:ascii="Consolas" w:hAnsi="Consolas"/>
          <w:sz w:val="18"/>
        </w:rPr>
        <w:t>Measurement quantity Total incremental direct active energy shall use unit Wh.</w:t>
      </w:r>
    </w:p>
    <w:p>
      <w:pPr>
        <w:pStyle w:val="Heading2"/>
      </w:pPr>
      <w:r>
        <w:t>5.11 flag_definition</w:t>
      </w:r>
    </w:p>
    <w:p>
      <w:r>
        <w:t>用于状态码、flag、profile status 定义。</w:t>
      </w:r>
    </w:p>
    <w:p>
      <w:r>
        <w:t>示例：</w:t>
      </w:r>
    </w:p>
    <w:p>
      <w:pPr>
        <w:spacing w:before="80" w:after="120"/>
        <w:ind w:left="216"/>
      </w:pPr>
      <w:r>
        <w:rPr>
          <w:rFonts w:ascii="Consolas" w:hAnsi="Consolas"/>
          <w:sz w:val="18"/>
        </w:rPr>
        <w:t>Profile status Bit 7 IV shall be defined as: Invalid data.</w:t>
      </w:r>
    </w:p>
    <w:p>
      <w:pPr>
        <w:pStyle w:val="Heading1"/>
      </w:pPr>
      <w:r>
        <w:t>6. 真实文档验证结果</w:t>
      </w:r>
    </w:p>
    <w:p>
      <w:r>
        <w:t>基于当前样本文档的最新解析结果：</w:t>
      </w:r>
    </w:p>
    <w:p>
      <w:pPr>
        <w:spacing w:before="80" w:after="120"/>
        <w:ind w:left="216"/>
      </w:pPr>
      <w:r>
        <w:rPr>
          <w:rFonts w:ascii="Consolas" w:hAnsi="Consolas"/>
          <w:sz w:val="18"/>
        </w:rPr>
        <w:t>Blocks: 1013</w:t>
        <w:br/>
        <w:t>Chunks: 366</w:t>
        <w:br/>
        <w:t>Table items: 2075</w:t>
        <w:br/>
        <w:t>Atomic requirements: 2337</w:t>
        <w:br/>
        <w:t>LLM tasks: 2394</w:t>
        <w:br/>
        <w:t>Body table candidate ratio: 0.9928</w:t>
        <w:br/>
        <w:t>Domain table candidate ratio: 0.9966</w:t>
      </w:r>
    </w:p>
    <w:p>
      <w:r>
        <w:t>主要原子需求类型分布：</w:t>
      </w:r>
    </w:p>
    <w:p>
      <w:pPr>
        <w:spacing w:before="80" w:after="120"/>
        <w:ind w:left="216"/>
      </w:pPr>
      <w:r>
        <w:rPr>
          <w:rFonts w:ascii="Consolas" w:hAnsi="Consolas"/>
          <w:sz w:val="18"/>
        </w:rPr>
        <w:t>COSEM attribute access: 1425</w:t>
        <w:br/>
        <w:t>COSEM object instance: 363</w:t>
        <w:br/>
        <w:t>Table value matrix: 186</w:t>
        <w:br/>
        <w:t>Measurement quantity unit: 131</w:t>
        <w:br/>
        <w:t>Event definition: 93</w:t>
        <w:br/>
        <w:t>Access control paragraph/table rows: 41</w:t>
        <w:br/>
        <w:t>Capability matrix: 15</w:t>
        <w:br/>
        <w:t>Event group retention: 13</w:t>
        <w:br/>
        <w:t>Security policy bit: 8</w:t>
        <w:br/>
        <w:t>Flag definition: 8</w:t>
        <w:br/>
        <w:t>Security policy state: 5</w:t>
        <w:br/>
        <w:t>Association security matrix: 4</w:t>
        <w:br/>
        <w:t>Security suite definition: 3</w:t>
      </w:r>
    </w:p>
    <w:p>
      <w:pPr>
        <w:pStyle w:val="Heading1"/>
      </w:pPr>
      <w:r>
        <w:t>7. 专家评审重点</w:t>
      </w:r>
    </w:p>
    <w:p>
      <w:r>
        <w:t>建议专家重点评审以下问题。</w:t>
      </w:r>
    </w:p>
    <w:p>
      <w:pPr>
        <w:pStyle w:val="Heading2"/>
      </w:pPr>
      <w:r>
        <w:t>7.1 需求化边界</w:t>
      </w:r>
    </w:p>
    <w:p>
      <w:r>
        <w:t>需要确认：</w:t>
      </w:r>
    </w:p>
    <w:p>
      <w:pPr>
        <w:pStyle w:val="ListBullet"/>
      </w:pPr>
      <w:r>
        <w:t>表格定义项是否都应转换为 requirement。</w:t>
      </w:r>
    </w:p>
    <w:p>
      <w:pPr>
        <w:pStyle w:val="ListBullet"/>
      </w:pPr>
      <w:r>
        <w:t>`shall be defined as` 是否适合作为统一表达。</w:t>
      </w:r>
    </w:p>
    <w:p>
      <w:pPr>
        <w:pStyle w:val="ListBullet"/>
      </w:pPr>
      <w:r>
        <w:t>安全套件、事件编号、计量单位更适合叫 requirement 还是 specification item。</w:t>
      </w:r>
    </w:p>
    <w:p>
      <w:pPr>
        <w:pStyle w:val="Heading2"/>
      </w:pPr>
      <w:r>
        <w:t>7.2 DLMS/COSEM 语义准确性</w:t>
      </w:r>
    </w:p>
    <w:p>
      <w:r>
        <w:t>需要确认：</w:t>
      </w:r>
    </w:p>
    <w:p>
      <w:pPr>
        <w:pStyle w:val="ListBullet"/>
      </w:pPr>
      <w:r>
        <w:t>RC/PC/SC/LC 的客户端解释是否符合该文档上下文。</w:t>
      </w:r>
    </w:p>
    <w:p>
      <w:pPr>
        <w:pStyle w:val="ListBullet"/>
      </w:pPr>
      <w:r>
        <w:t>COSEM object instance 的 CL 和 OBIS 解析是否完整准确。</w:t>
      </w:r>
    </w:p>
    <w:p>
      <w:pPr>
        <w:pStyle w:val="ListBullet"/>
      </w:pPr>
      <w:r>
        <w:t>Association LN、SAP Assignment、Security Setup 等对象是否应进入最终需求库。</w:t>
      </w:r>
    </w:p>
    <w:p>
      <w:pPr>
        <w:pStyle w:val="Heading2"/>
      </w:pPr>
      <w:r>
        <w:t>7.3 事件表处理</w:t>
      </w:r>
    </w:p>
    <w:p>
      <w:r>
        <w:t>需要确认：</w:t>
      </w:r>
    </w:p>
    <w:p>
      <w:pPr>
        <w:pStyle w:val="ListBullet"/>
      </w:pPr>
      <w:r>
        <w:t>`Group number = 1, 2, 3, 4, 5, 6` 是否应展开为多条事件。</w:t>
      </w:r>
    </w:p>
    <w:p>
      <w:pPr>
        <w:pStyle w:val="ListBullet"/>
      </w:pPr>
      <w:r>
        <w:t>`Subgroup = All` 是否应保持原文还是展开。</w:t>
      </w:r>
    </w:p>
    <w:p>
      <w:pPr>
        <w:pStyle w:val="ListBullet"/>
      </w:pPr>
      <w:r>
        <w:t>事件定义是否需要附带事件组和日志容量要求。</w:t>
      </w:r>
    </w:p>
    <w:p>
      <w:pPr>
        <w:pStyle w:val="Heading2"/>
      </w:pPr>
      <w:r>
        <w:t>7.4 规则置信度</w:t>
      </w:r>
    </w:p>
    <w:p>
      <w:r>
        <w:t>需要确认：</w:t>
      </w:r>
    </w:p>
    <w:p>
      <w:pPr>
        <w:pStyle w:val="ListBullet"/>
      </w:pPr>
      <w:r>
        <w:t>哪些 requirement_type 可自动接受。</w:t>
      </w:r>
    </w:p>
    <w:p>
      <w:pPr>
        <w:pStyle w:val="ListBullet"/>
      </w:pPr>
      <w:r>
        <w:t>哪些 requirement_type 必须专家复核。</w:t>
      </w:r>
    </w:p>
    <w:p>
      <w:pPr>
        <w:pStyle w:val="ListBullet"/>
      </w:pPr>
      <w:r>
        <w:t>低置信项阈值是否合理。</w:t>
      </w:r>
    </w:p>
    <w:p>
      <w:pPr>
        <w:pStyle w:val="Heading2"/>
      </w:pPr>
      <w:r>
        <w:t>7.5 大模型角色</w:t>
      </w:r>
    </w:p>
    <w:p>
      <w:r>
        <w:t>需要确认大模型应执行哪些任务：</w:t>
      </w:r>
    </w:p>
    <w:p>
      <w:pPr>
        <w:pStyle w:val="ListBullet"/>
      </w:pPr>
      <w:r>
        <w:t>重写自然语言</w:t>
      </w:r>
    </w:p>
    <w:p>
      <w:pPr>
        <w:pStyle w:val="ListBullet"/>
      </w:pPr>
      <w:r>
        <w:t>合并重复需求</w:t>
      </w:r>
    </w:p>
    <w:p>
      <w:pPr>
        <w:pStyle w:val="ListBullet"/>
      </w:pPr>
      <w:r>
        <w:t>发现遗漏需求</w:t>
      </w:r>
    </w:p>
    <w:p>
      <w:pPr>
        <w:pStyle w:val="ListBullet"/>
      </w:pPr>
      <w:r>
        <w:t>判断定义项是否为需求</w:t>
      </w:r>
    </w:p>
    <w:p>
      <w:pPr>
        <w:pStyle w:val="ListBullet"/>
      </w:pPr>
      <w:r>
        <w:t>生成测试点</w:t>
      </w:r>
    </w:p>
    <w:p>
      <w:pPr>
        <w:pStyle w:val="ListBullet"/>
      </w:pPr>
      <w:r>
        <w:t>生成审查问题</w:t>
      </w:r>
    </w:p>
    <w:p>
      <w:pPr>
        <w:pStyle w:val="Heading1"/>
      </w:pPr>
      <w:r>
        <w:t>8. 当前限制</w:t>
      </w:r>
    </w:p>
    <w:p>
      <w:r>
        <w:t>当前方案仍存在以下限制：</w:t>
      </w:r>
    </w:p>
    <w:p>
      <w:pPr>
        <w:pStyle w:val="ListBullet"/>
      </w:pPr>
      <w:r>
        <w:t>仅支持 `.docx`。</w:t>
      </w:r>
    </w:p>
    <w:p>
      <w:pPr>
        <w:pStyle w:val="ListBullet"/>
      </w:pPr>
      <w:r>
        <w:t>复杂跨页表格依赖 Word 文档本身结构。</w:t>
      </w:r>
    </w:p>
    <w:p>
      <w:pPr>
        <w:pStyle w:val="ListBullet"/>
      </w:pPr>
      <w:r>
        <w:t>机器翻译质量会影响段落类需求判断。</w:t>
      </w:r>
    </w:p>
    <w:p>
      <w:pPr>
        <w:pStyle w:val="ListBullet"/>
      </w:pPr>
      <w:r>
        <w:t>表格定义项是否应需求化需要行业专家确认。</w:t>
      </w:r>
    </w:p>
    <w:p>
      <w:pPr>
        <w:pStyle w:val="ListBullet"/>
      </w:pPr>
      <w:r>
        <w:t>复合 group/subgroup/event 编号暂未自动展开。</w:t>
      </w:r>
    </w:p>
    <w:p>
      <w:pPr>
        <w:pStyle w:val="ListBullet"/>
      </w:pPr>
      <w:r>
        <w:t>图片、公式、脚注尚未深度解析。</w:t>
      </w:r>
    </w:p>
    <w:p>
      <w:pPr>
        <w:pStyle w:val="ListBullet"/>
      </w:pPr>
      <w:r>
        <w:t>规则候选仍需大模型和专家复核。</w:t>
      </w:r>
    </w:p>
    <w:p>
      <w:pPr>
        <w:pStyle w:val="Heading1"/>
      </w:pPr>
      <w:r>
        <w:t>9. 后续建设建议</w:t>
      </w:r>
    </w:p>
    <w:p>
      <w:r>
        <w:t>建议下一阶段建设：</w:t>
      </w:r>
    </w:p>
    <w:p>
      <w:pPr>
        <w:pStyle w:val="ListBullet"/>
      </w:pPr>
      <w:r>
        <w:t>规则开关配置</w:t>
      </w:r>
    </w:p>
    <w:p>
      <w:pPr>
        <w:pStyle w:val="ListBullet"/>
      </w:pPr>
      <w:r>
        <w:t>专家审核界面</w:t>
      </w:r>
    </w:p>
    <w:p>
      <w:pPr>
        <w:pStyle w:val="ListBullet"/>
      </w:pPr>
      <w:r>
        <w:t>candidate / accepted / rejected / needs_review 状态流</w:t>
      </w:r>
    </w:p>
    <w:p>
      <w:pPr>
        <w:pStyle w:val="ListBullet"/>
      </w:pPr>
      <w:r>
        <w:t>大模型自动复核器</w:t>
      </w:r>
    </w:p>
    <w:p>
      <w:pPr>
        <w:pStyle w:val="ListBullet"/>
      </w:pPr>
      <w:r>
        <w:t>需求去重和合并</w:t>
      </w:r>
    </w:p>
    <w:p>
      <w:pPr>
        <w:pStyle w:val="ListBullet"/>
      </w:pPr>
      <w:r>
        <w:t>Excel 导出</w:t>
      </w:r>
    </w:p>
    <w:p>
      <w:pPr>
        <w:pStyle w:val="ListBullet"/>
      </w:pPr>
      <w:r>
        <w:t>ReqIF 导出</w:t>
      </w:r>
    </w:p>
    <w:p>
      <w:pPr>
        <w:pStyle w:val="ListBullet"/>
      </w:pPr>
      <w:r>
        <w:t>REST API</w:t>
      </w:r>
    </w:p>
    <w:p>
      <w:pPr>
        <w:pStyle w:val="ListBullet"/>
      </w:pPr>
      <w:r>
        <w:t>Windows 桌面应用封装</w:t>
      </w:r>
    </w:p>
    <w:p>
      <w:pPr>
        <w:pStyle w:val="ListBullet"/>
      </w:pPr>
      <w:r>
        <w:t>多文档批处理</w:t>
      </w:r>
    </w:p>
    <w:p>
      <w:pPr>
        <w:pStyle w:val="ListBullet"/>
      </w:pPr>
      <w:r>
        <w:t>知识库版本管理</w:t>
      </w:r>
    </w:p>
    <w:p>
      <w:pPr>
        <w:pStyle w:val="Heading1"/>
      </w:pPr>
      <w:r>
        <w:t>10. 结论</w:t>
      </w:r>
    </w:p>
    <w:p>
      <w:r>
        <w:t>当前方案已经从简单文档切块升级为面向能源计量标准的需求量子化引擎。</w:t>
      </w:r>
    </w:p>
    <w:p>
      <w:r>
        <w:t>它的核心价值是：</w:t>
      </w:r>
    </w:p>
    <w:p>
      <w:pPr>
        <w:pStyle w:val="ListBullet"/>
      </w:pPr>
      <w:r>
        <w:t>保留文档可追溯性。</w:t>
      </w:r>
    </w:p>
    <w:p>
      <w:pPr>
        <w:pStyle w:val="ListBullet"/>
      </w:pPr>
      <w:r>
        <w:t>能理解大量标准表格。</w:t>
      </w:r>
    </w:p>
    <w:p>
      <w:pPr>
        <w:pStyle w:val="ListBullet"/>
      </w:pPr>
      <w:r>
        <w:t>能结合行业知识库。</w:t>
      </w:r>
    </w:p>
    <w:p>
      <w:pPr>
        <w:pStyle w:val="ListBullet"/>
      </w:pPr>
      <w:r>
        <w:t>能先生成高覆盖原子需求草稿。</w:t>
      </w:r>
    </w:p>
    <w:p>
      <w:pPr>
        <w:pStyle w:val="ListBullet"/>
      </w:pPr>
      <w:r>
        <w:t>能为大模型和专家提供可复核输入。</w:t>
      </w:r>
    </w:p>
    <w:p>
      <w:r>
        <w:t>总体定位：</w:t>
      </w:r>
    </w:p>
    <w:p>
      <w:pPr>
        <w:spacing w:before="80" w:after="120"/>
        <w:ind w:left="216"/>
      </w:pPr>
      <w:r>
        <w:rPr>
          <w:rFonts w:ascii="Consolas" w:hAnsi="Consolas"/>
          <w:sz w:val="18"/>
        </w:rPr>
        <w:t>规则引擎负责稳定、高覆盖、可追溯；</w:t>
        <w:br/>
        <w:t>大模型负责语义复核、纠错、补漏；</w:t>
        <w:br/>
        <w:t>专家负责最终判定和标准解释。</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